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C4438" w:rsidP="006C4438" w:rsidRDefault="00BC491F" w14:paraId="089D07BA" w14:textId="0B3E20AC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C491F">
        <w:rPr>
          <w:rFonts w:ascii="Arial" w:hAnsi="Arial" w:cs="Arial"/>
          <w:b/>
          <w:bCs/>
          <w:color w:val="000000"/>
          <w:sz w:val="28"/>
          <w:szCs w:val="28"/>
        </w:rPr>
        <w:t>Krajobraz regulacyjny w cyberbezpieczeństwie.</w:t>
      </w:r>
    </w:p>
    <w:p w:rsidR="004F638B" w:rsidP="006C4438" w:rsidRDefault="00BC491F" w14:paraId="29391D40" w14:textId="33D189B7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C491F">
        <w:rPr>
          <w:rFonts w:ascii="Arial" w:hAnsi="Arial" w:cs="Arial"/>
          <w:b/>
          <w:bCs/>
          <w:color w:val="000000"/>
          <w:sz w:val="28"/>
          <w:szCs w:val="28"/>
        </w:rPr>
        <w:t>Nowe zasady w Europie</w:t>
      </w:r>
    </w:p>
    <w:p w:rsidRPr="00BC491F" w:rsidR="006C4438" w:rsidP="004F638B" w:rsidRDefault="006C4438" w14:paraId="2B95FCAD" w14:textId="44FFAB4B">
      <w:pPr>
        <w:spacing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 wp14:anchorId="7466D46D" wp14:editId="1F5B30D8">
            <wp:extent cx="6111240" cy="4076700"/>
            <wp:effectExtent l="0" t="0" r="3810" b="0"/>
            <wp:docPr id="443117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E01E4" w:rsidR="004F638B" w:rsidP="004F638B" w:rsidRDefault="004F638B" w14:paraId="712FE22E" w14:textId="77777777">
      <w:pPr>
        <w:spacing w:line="36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Pr="004F638B" w:rsidR="00F50456" w:rsidP="004F638B" w:rsidRDefault="00847826" w14:paraId="59DF7AB4" w14:textId="2441A23E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F638B">
        <w:rPr>
          <w:rFonts w:ascii="Arial" w:hAnsi="Arial" w:cs="Arial"/>
          <w:b/>
          <w:bCs/>
          <w:color w:val="000000"/>
          <w:sz w:val="20"/>
          <w:szCs w:val="20"/>
        </w:rPr>
        <w:t xml:space="preserve">W 2025 roku krajobraz </w:t>
      </w:r>
      <w:r w:rsidR="00AB643F">
        <w:rPr>
          <w:rFonts w:ascii="Arial" w:hAnsi="Arial" w:cs="Arial"/>
          <w:b/>
          <w:bCs/>
          <w:color w:val="000000"/>
          <w:sz w:val="20"/>
          <w:szCs w:val="20"/>
        </w:rPr>
        <w:t>prawny</w:t>
      </w:r>
      <w:r w:rsidRPr="004F638B">
        <w:rPr>
          <w:rFonts w:ascii="Arial" w:hAnsi="Arial" w:cs="Arial"/>
          <w:b/>
          <w:bCs/>
          <w:color w:val="000000"/>
          <w:sz w:val="20"/>
          <w:szCs w:val="20"/>
        </w:rPr>
        <w:t xml:space="preserve"> w Europie będzie się zmieniać, ponieważ </w:t>
      </w:r>
      <w:r w:rsidRPr="004F638B" w:rsidR="004F638B">
        <w:rPr>
          <w:rFonts w:ascii="Arial" w:hAnsi="Arial" w:cs="Arial"/>
          <w:b/>
          <w:bCs/>
          <w:color w:val="000000"/>
          <w:sz w:val="20"/>
          <w:szCs w:val="20"/>
        </w:rPr>
        <w:t>wdrożenia będą wymagały nowe przepisy dotyczące cyberbezpieczeństwa</w:t>
      </w:r>
      <w:r w:rsidRPr="004F638B">
        <w:rPr>
          <w:rFonts w:ascii="Arial" w:hAnsi="Arial" w:cs="Arial"/>
          <w:b/>
          <w:bCs/>
          <w:color w:val="000000"/>
          <w:sz w:val="20"/>
          <w:szCs w:val="20"/>
        </w:rPr>
        <w:t xml:space="preserve">. Proces ten jest trudny dla europejskich organizacji, ponieważ muszą poradzić sobie z wyzwaniami dotyczącymi zgodności z nowymi </w:t>
      </w:r>
      <w:r w:rsidR="00AB643F">
        <w:rPr>
          <w:rFonts w:ascii="Arial" w:hAnsi="Arial" w:cs="Arial"/>
          <w:b/>
          <w:bCs/>
          <w:color w:val="000000"/>
          <w:sz w:val="20"/>
          <w:szCs w:val="20"/>
        </w:rPr>
        <w:t>regulacjami</w:t>
      </w:r>
      <w:r w:rsidRPr="004F638B">
        <w:rPr>
          <w:rFonts w:ascii="Arial" w:hAnsi="Arial" w:cs="Arial"/>
          <w:b/>
          <w:bCs/>
          <w:color w:val="000000"/>
          <w:sz w:val="20"/>
          <w:szCs w:val="20"/>
        </w:rPr>
        <w:t xml:space="preserve"> oraz ich wpływem zarówno na ich działalność biznesową, jak i na strategie cyfr</w:t>
      </w:r>
      <w:r w:rsidRPr="004F638B" w:rsidR="004F638B">
        <w:rPr>
          <w:rFonts w:ascii="Arial" w:hAnsi="Arial" w:cs="Arial"/>
          <w:b/>
          <w:bCs/>
          <w:color w:val="000000"/>
          <w:sz w:val="20"/>
          <w:szCs w:val="20"/>
        </w:rPr>
        <w:t>yzacji</w:t>
      </w:r>
      <w:r w:rsidRPr="004F638B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</w:p>
    <w:p w:rsidRPr="004F638B" w:rsidR="004F638B" w:rsidP="004F638B" w:rsidRDefault="004F638B" w14:paraId="4B20CBBE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4F638B" w:rsidR="00F50456" w:rsidP="004F638B" w:rsidRDefault="00847826" w14:paraId="6D732920" w14:textId="1109D1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F638B">
        <w:rPr>
          <w:rFonts w:ascii="Arial" w:hAnsi="Arial" w:cs="Arial"/>
          <w:color w:val="000000"/>
          <w:sz w:val="20"/>
          <w:szCs w:val="20"/>
        </w:rPr>
        <w:t xml:space="preserve">Jako Regulatory Affairs Lead Fortinet w Europie </w:t>
      </w:r>
      <w:r w:rsidR="004F638B">
        <w:rPr>
          <w:rFonts w:ascii="Arial" w:hAnsi="Arial" w:cs="Arial"/>
          <w:color w:val="000000"/>
          <w:sz w:val="20"/>
          <w:szCs w:val="20"/>
        </w:rPr>
        <w:t>współpracowałem</w:t>
      </w:r>
      <w:r w:rsidRPr="004F638B">
        <w:rPr>
          <w:rFonts w:ascii="Arial" w:hAnsi="Arial" w:cs="Arial"/>
          <w:color w:val="000000"/>
          <w:sz w:val="20"/>
          <w:szCs w:val="20"/>
        </w:rPr>
        <w:t xml:space="preserve"> z osobami odpowiedzialnymi za kształtowanie polityki bezpieczeństwa oraz z firmami i partnerami w całym regionie, w celu identyfikacji czekających ich wyzwań i wspólnej pracy nad ich rozwiązaniem. Pozwoliło mi to ustalić, w jaki sposób nowe przepisy w 2025 roku będą przekształcać cyberbezpieczeństwo w Europie oraz jak </w:t>
      </w:r>
      <w:r w:rsidR="004F638B">
        <w:rPr>
          <w:rFonts w:ascii="Arial" w:hAnsi="Arial" w:cs="Arial"/>
          <w:color w:val="000000"/>
          <w:sz w:val="20"/>
          <w:szCs w:val="20"/>
        </w:rPr>
        <w:t>firmy</w:t>
      </w:r>
      <w:r w:rsidRPr="004F638B">
        <w:rPr>
          <w:rFonts w:ascii="Arial" w:hAnsi="Arial" w:cs="Arial"/>
          <w:color w:val="000000"/>
          <w:sz w:val="20"/>
          <w:szCs w:val="20"/>
        </w:rPr>
        <w:t xml:space="preserve"> mogą się na to przygotować. Oto moje spostrzeżenia.</w:t>
      </w:r>
    </w:p>
    <w:p w:rsidRPr="004F638B" w:rsidR="00F50456" w:rsidP="004F638B" w:rsidRDefault="00F50456" w14:paraId="75FD9361" w14:textId="7777777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4F638B" w:rsidR="00F50456" w:rsidP="004F638B" w:rsidRDefault="00847826" w14:paraId="0DAA181E" w14:textId="785859B5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F638B">
        <w:rPr>
          <w:rFonts w:ascii="Arial" w:hAnsi="Arial" w:cs="Arial"/>
          <w:b/>
          <w:bCs/>
          <w:color w:val="000000"/>
          <w:sz w:val="20"/>
          <w:szCs w:val="20"/>
        </w:rPr>
        <w:t xml:space="preserve">1. </w:t>
      </w:r>
      <w:r w:rsidR="004F638B">
        <w:rPr>
          <w:rFonts w:ascii="Arial" w:hAnsi="Arial" w:cs="Arial"/>
          <w:b/>
          <w:bCs/>
          <w:color w:val="000000"/>
          <w:sz w:val="20"/>
          <w:szCs w:val="20"/>
        </w:rPr>
        <w:t>W centrum uwagi znajdzie się d</w:t>
      </w:r>
      <w:r w:rsidRPr="004F638B">
        <w:rPr>
          <w:rFonts w:ascii="Arial" w:hAnsi="Arial" w:cs="Arial"/>
          <w:b/>
          <w:bCs/>
          <w:color w:val="000000"/>
          <w:sz w:val="20"/>
          <w:szCs w:val="20"/>
        </w:rPr>
        <w:t>ostosowanie do nowych regulacji</w:t>
      </w:r>
    </w:p>
    <w:p w:rsidR="008C55E6" w:rsidP="004F638B" w:rsidRDefault="008C55E6" w14:paraId="13BFB8D8" w14:textId="6A0540D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C55E6">
        <w:rPr>
          <w:rFonts w:ascii="Arial" w:hAnsi="Arial" w:cs="Arial"/>
          <w:color w:val="000000"/>
          <w:sz w:val="20"/>
          <w:szCs w:val="20"/>
        </w:rPr>
        <w:t xml:space="preserve">Jednym z kluczowych </w:t>
      </w:r>
      <w:r>
        <w:rPr>
          <w:rFonts w:ascii="Arial" w:hAnsi="Arial" w:cs="Arial"/>
          <w:color w:val="000000"/>
          <w:sz w:val="20"/>
          <w:szCs w:val="20"/>
        </w:rPr>
        <w:t>wyzwań</w:t>
      </w:r>
      <w:r w:rsidRPr="008C55E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</w:t>
      </w:r>
      <w:r w:rsidRPr="008C55E6">
        <w:rPr>
          <w:rFonts w:ascii="Arial" w:hAnsi="Arial" w:cs="Arial"/>
          <w:color w:val="000000"/>
          <w:sz w:val="20"/>
          <w:szCs w:val="20"/>
        </w:rPr>
        <w:t xml:space="preserve"> 2025</w:t>
      </w:r>
      <w:r>
        <w:rPr>
          <w:rFonts w:ascii="Arial" w:hAnsi="Arial" w:cs="Arial"/>
          <w:color w:val="000000"/>
          <w:sz w:val="20"/>
          <w:szCs w:val="20"/>
        </w:rPr>
        <w:t xml:space="preserve"> roku</w:t>
      </w:r>
      <w:r w:rsidRPr="008C55E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będzie</w:t>
      </w:r>
      <w:r w:rsidRPr="008C55E6">
        <w:rPr>
          <w:rFonts w:ascii="Arial" w:hAnsi="Arial" w:cs="Arial"/>
          <w:color w:val="000000"/>
          <w:sz w:val="20"/>
          <w:szCs w:val="20"/>
        </w:rPr>
        <w:t xml:space="preserve"> dążenie do </w:t>
      </w:r>
      <w:r>
        <w:rPr>
          <w:rFonts w:ascii="Arial" w:hAnsi="Arial" w:cs="Arial"/>
          <w:color w:val="000000"/>
          <w:sz w:val="20"/>
          <w:szCs w:val="20"/>
        </w:rPr>
        <w:t>zgodności z regulacjami</w:t>
      </w:r>
      <w:r w:rsidRPr="008C55E6">
        <w:rPr>
          <w:rFonts w:ascii="Arial" w:hAnsi="Arial" w:cs="Arial"/>
          <w:color w:val="000000"/>
          <w:sz w:val="20"/>
          <w:szCs w:val="20"/>
        </w:rPr>
        <w:t>. Komisja Europejska zobowiązała się do</w:t>
      </w:r>
      <w:r>
        <w:rPr>
          <w:rFonts w:ascii="Arial" w:hAnsi="Arial" w:cs="Arial"/>
          <w:color w:val="000000"/>
          <w:sz w:val="20"/>
          <w:szCs w:val="20"/>
        </w:rPr>
        <w:t xml:space="preserve"> przestrzegania</w:t>
      </w:r>
      <w:r w:rsidRPr="008C55E6">
        <w:rPr>
          <w:rFonts w:ascii="Arial" w:hAnsi="Arial" w:cs="Arial"/>
          <w:color w:val="000000"/>
          <w:sz w:val="20"/>
          <w:szCs w:val="20"/>
        </w:rPr>
        <w:t xml:space="preserve"> zasady „</w:t>
      </w:r>
      <w:r>
        <w:rPr>
          <w:rFonts w:ascii="Arial" w:hAnsi="Arial" w:cs="Arial"/>
          <w:color w:val="000000"/>
          <w:sz w:val="20"/>
          <w:szCs w:val="20"/>
        </w:rPr>
        <w:t>one in, one out</w:t>
      </w:r>
      <w:r w:rsidRPr="008C55E6">
        <w:rPr>
          <w:rFonts w:ascii="Arial" w:hAnsi="Arial" w:cs="Arial"/>
          <w:color w:val="000000"/>
          <w:sz w:val="20"/>
          <w:szCs w:val="20"/>
        </w:rPr>
        <w:t xml:space="preserve">”, aby ograniczyć wprowadzanie nowych </w:t>
      </w:r>
      <w:r>
        <w:rPr>
          <w:rFonts w:ascii="Arial" w:hAnsi="Arial" w:cs="Arial"/>
          <w:color w:val="000000"/>
          <w:sz w:val="20"/>
          <w:szCs w:val="20"/>
        </w:rPr>
        <w:t>przepisów.</w:t>
      </w:r>
      <w:r w:rsidRPr="008C55E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Tym samym </w:t>
      </w:r>
      <w:r w:rsidRPr="008C55E6">
        <w:rPr>
          <w:rFonts w:ascii="Arial" w:hAnsi="Arial" w:cs="Arial"/>
          <w:color w:val="000000"/>
          <w:sz w:val="20"/>
          <w:szCs w:val="20"/>
        </w:rPr>
        <w:t>sygnalizuj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8C55E6">
        <w:rPr>
          <w:rFonts w:ascii="Arial" w:hAnsi="Arial" w:cs="Arial"/>
          <w:color w:val="000000"/>
          <w:sz w:val="20"/>
          <w:szCs w:val="20"/>
        </w:rPr>
        <w:t>, że uwaga zostanie skierowana na wdrażanie i dostosowywanie</w:t>
      </w:r>
      <w:r>
        <w:rPr>
          <w:rFonts w:ascii="Arial" w:hAnsi="Arial" w:cs="Arial"/>
          <w:color w:val="000000"/>
          <w:sz w:val="20"/>
          <w:szCs w:val="20"/>
        </w:rPr>
        <w:t xml:space="preserve"> przepisów w</w:t>
      </w:r>
      <w:r w:rsidRPr="008C55E6">
        <w:rPr>
          <w:rFonts w:ascii="Arial" w:hAnsi="Arial" w:cs="Arial"/>
          <w:color w:val="000000"/>
          <w:sz w:val="20"/>
          <w:szCs w:val="20"/>
        </w:rPr>
        <w:t xml:space="preserve"> niedawno przyjętych ram</w:t>
      </w:r>
      <w:r>
        <w:rPr>
          <w:rFonts w:ascii="Arial" w:hAnsi="Arial" w:cs="Arial"/>
          <w:color w:val="000000"/>
          <w:sz w:val="20"/>
          <w:szCs w:val="20"/>
        </w:rPr>
        <w:t>ach</w:t>
      </w:r>
      <w:r w:rsidRPr="008C55E6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F638B">
        <w:rPr>
          <w:rFonts w:ascii="Arial" w:hAnsi="Arial" w:cs="Arial"/>
          <w:color w:val="000000"/>
          <w:sz w:val="20"/>
          <w:szCs w:val="20"/>
        </w:rPr>
        <w:t>jak dyrektywa w sprawie środków na rzecz wysokiego, wspólnego poziomu cyberbezpieczeństwa (NIS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F638B">
        <w:rPr>
          <w:rFonts w:ascii="Arial" w:hAnsi="Arial" w:cs="Arial"/>
          <w:color w:val="000000"/>
          <w:sz w:val="20"/>
          <w:szCs w:val="20"/>
        </w:rPr>
        <w:t xml:space="preserve">2), ustawa o cyfrowej odporności operacyjnej (DORA), ustawa o </w:t>
      </w:r>
      <w:proofErr w:type="spellStart"/>
      <w:r w:rsidRPr="004F638B">
        <w:rPr>
          <w:rFonts w:ascii="Arial" w:hAnsi="Arial" w:cs="Arial"/>
          <w:color w:val="000000"/>
          <w:sz w:val="20"/>
          <w:szCs w:val="20"/>
        </w:rPr>
        <w:t>cyberodporności</w:t>
      </w:r>
      <w:proofErr w:type="spellEnd"/>
      <w:r w:rsidRPr="004F638B">
        <w:rPr>
          <w:rFonts w:ascii="Arial" w:hAnsi="Arial" w:cs="Arial"/>
          <w:color w:val="000000"/>
          <w:sz w:val="20"/>
          <w:szCs w:val="20"/>
        </w:rPr>
        <w:t xml:space="preserve"> (CRA) oraz unijna ustawa o danych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8C55E6" w:rsidP="004F638B" w:rsidRDefault="008C55E6" w14:paraId="12EA4521" w14:textId="7777777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4F638B" w:rsidR="00F50456" w:rsidP="004F638B" w:rsidRDefault="00847826" w14:paraId="330B620F" w14:textId="511FC0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F638B">
        <w:rPr>
          <w:rFonts w:ascii="Arial" w:hAnsi="Arial" w:cs="Arial"/>
          <w:color w:val="000000"/>
          <w:sz w:val="20"/>
          <w:szCs w:val="20"/>
        </w:rPr>
        <w:lastRenderedPageBreak/>
        <w:t xml:space="preserve">. Dostosowanie </w:t>
      </w:r>
      <w:r w:rsidR="004F638B">
        <w:rPr>
          <w:rFonts w:ascii="Arial" w:hAnsi="Arial" w:cs="Arial"/>
          <w:color w:val="000000"/>
          <w:sz w:val="20"/>
          <w:szCs w:val="20"/>
        </w:rPr>
        <w:t xml:space="preserve">się do nich </w:t>
      </w:r>
      <w:r w:rsidRPr="004F638B">
        <w:rPr>
          <w:rFonts w:ascii="Arial" w:hAnsi="Arial" w:cs="Arial"/>
          <w:color w:val="000000"/>
          <w:sz w:val="20"/>
          <w:szCs w:val="20"/>
        </w:rPr>
        <w:t>i</w:t>
      </w:r>
      <w:r w:rsidR="004F638B">
        <w:rPr>
          <w:rFonts w:ascii="Arial" w:hAnsi="Arial" w:cs="Arial"/>
          <w:color w:val="000000"/>
          <w:sz w:val="20"/>
          <w:szCs w:val="20"/>
        </w:rPr>
        <w:t xml:space="preserve"> zachowanie z nimi</w:t>
      </w:r>
      <w:r w:rsidRPr="004F638B">
        <w:rPr>
          <w:rFonts w:ascii="Arial" w:hAnsi="Arial" w:cs="Arial"/>
          <w:color w:val="000000"/>
          <w:sz w:val="20"/>
          <w:szCs w:val="20"/>
        </w:rPr>
        <w:t xml:space="preserve"> zgodność nie są wyłącznie wymogami regulacyjnymi</w:t>
      </w:r>
      <w:r w:rsidR="004F638B">
        <w:rPr>
          <w:rFonts w:ascii="Arial" w:hAnsi="Arial" w:cs="Arial"/>
          <w:color w:val="000000"/>
          <w:sz w:val="20"/>
          <w:szCs w:val="20"/>
        </w:rPr>
        <w:t xml:space="preserve"> – dla firm jest</w:t>
      </w:r>
      <w:r w:rsidRPr="004F638B">
        <w:rPr>
          <w:rFonts w:ascii="Arial" w:hAnsi="Arial" w:cs="Arial"/>
          <w:color w:val="000000"/>
          <w:sz w:val="20"/>
          <w:szCs w:val="20"/>
        </w:rPr>
        <w:t xml:space="preserve"> to konieczność. Prowadzenie działalności transgranicznej </w:t>
      </w:r>
      <w:r w:rsidR="004F638B">
        <w:rPr>
          <w:rFonts w:ascii="Arial" w:hAnsi="Arial" w:cs="Arial"/>
          <w:color w:val="000000"/>
          <w:sz w:val="20"/>
          <w:szCs w:val="20"/>
        </w:rPr>
        <w:t>już teraz</w:t>
      </w:r>
      <w:r w:rsidRPr="004F638B">
        <w:rPr>
          <w:rFonts w:ascii="Arial" w:hAnsi="Arial" w:cs="Arial"/>
          <w:color w:val="000000"/>
          <w:sz w:val="20"/>
          <w:szCs w:val="20"/>
        </w:rPr>
        <w:t xml:space="preserve"> </w:t>
      </w:r>
      <w:r w:rsidR="004F638B">
        <w:rPr>
          <w:rFonts w:ascii="Arial" w:hAnsi="Arial" w:cs="Arial"/>
          <w:color w:val="000000"/>
          <w:sz w:val="20"/>
          <w:szCs w:val="20"/>
        </w:rPr>
        <w:t>jest</w:t>
      </w:r>
      <w:r w:rsidRPr="004F638B">
        <w:rPr>
          <w:rFonts w:ascii="Arial" w:hAnsi="Arial" w:cs="Arial"/>
          <w:color w:val="000000"/>
          <w:sz w:val="20"/>
          <w:szCs w:val="20"/>
        </w:rPr>
        <w:t xml:space="preserve"> tak skomplikowane, że niespójne przepisy zwiększyłyby jeszcze poziom trudności. Zatem od 2025 r. nastąpi silniejszy nacisk na jednolite wymogi </w:t>
      </w:r>
      <w:r w:rsidR="004F638B">
        <w:rPr>
          <w:rFonts w:ascii="Arial" w:hAnsi="Arial" w:cs="Arial"/>
          <w:color w:val="000000"/>
          <w:sz w:val="20"/>
          <w:szCs w:val="20"/>
        </w:rPr>
        <w:t xml:space="preserve">dotyczące </w:t>
      </w:r>
      <w:r w:rsidRPr="004F638B">
        <w:rPr>
          <w:rFonts w:ascii="Arial" w:hAnsi="Arial" w:cs="Arial"/>
          <w:color w:val="000000"/>
          <w:sz w:val="20"/>
          <w:szCs w:val="20"/>
        </w:rPr>
        <w:t>zgodności. Dostawcom ułatwi to działania i zwiększy ich efektywność, a klienci zaczną czerpać korzyści z bardziej otwartego i konkurencyjnego rynku.</w:t>
      </w:r>
    </w:p>
    <w:p w:rsidRPr="004F638B" w:rsidR="00F50456" w:rsidP="004F638B" w:rsidRDefault="00F50456" w14:paraId="56BDA1FB" w14:textId="7777777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4F638B" w:rsidR="00F50456" w:rsidP="004F638B" w:rsidRDefault="00847826" w14:paraId="32D0673C" w14:textId="326E78F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F638B">
        <w:rPr>
          <w:rFonts w:ascii="Arial" w:hAnsi="Arial" w:cs="Arial"/>
          <w:b/>
          <w:bCs/>
          <w:color w:val="000000"/>
          <w:sz w:val="20"/>
          <w:szCs w:val="20"/>
        </w:rPr>
        <w:t>2. Zmniejszanie luki kompetencyjnej w obszarze cyberbezpieczeństwa</w:t>
      </w:r>
    </w:p>
    <w:p w:rsidRPr="004F638B" w:rsidR="00F50456" w:rsidP="004F638B" w:rsidRDefault="00847826" w14:paraId="00152D36" w14:textId="4E127C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F638B">
        <w:rPr>
          <w:rFonts w:ascii="Arial" w:hAnsi="Arial" w:cs="Arial"/>
          <w:color w:val="000000"/>
          <w:sz w:val="20"/>
          <w:szCs w:val="20"/>
        </w:rPr>
        <w:t xml:space="preserve">Ogromnym wyzwaniem dotyczących zapewnienia zgodności z regulacjami i cyberodporności może okazać się luka </w:t>
      </w:r>
      <w:r w:rsidR="004F638B">
        <w:rPr>
          <w:rFonts w:ascii="Arial" w:hAnsi="Arial" w:cs="Arial"/>
          <w:color w:val="000000"/>
          <w:sz w:val="20"/>
          <w:szCs w:val="20"/>
        </w:rPr>
        <w:t>kompetencyjna</w:t>
      </w:r>
      <w:r w:rsidRPr="004F638B">
        <w:rPr>
          <w:rFonts w:ascii="Arial" w:hAnsi="Arial" w:cs="Arial"/>
          <w:color w:val="000000"/>
          <w:sz w:val="20"/>
          <w:szCs w:val="20"/>
        </w:rPr>
        <w:t xml:space="preserve"> w zakresie cyberbezpieczeństwa. Inicjatywy</w:t>
      </w:r>
      <w:r w:rsidR="00B409DD">
        <w:rPr>
          <w:rFonts w:ascii="Arial" w:hAnsi="Arial" w:cs="Arial"/>
          <w:color w:val="000000"/>
          <w:sz w:val="20"/>
          <w:szCs w:val="20"/>
        </w:rPr>
        <w:t>,</w:t>
      </w:r>
      <w:r w:rsidRPr="004F638B">
        <w:rPr>
          <w:rFonts w:ascii="Arial" w:hAnsi="Arial" w:cs="Arial"/>
          <w:color w:val="000000"/>
          <w:sz w:val="20"/>
          <w:szCs w:val="20"/>
        </w:rPr>
        <w:t xml:space="preserve"> takie jak European Cybersecurity </w:t>
      </w:r>
      <w:proofErr w:type="spellStart"/>
      <w:r w:rsidRPr="004F638B">
        <w:rPr>
          <w:rFonts w:ascii="Arial" w:hAnsi="Arial" w:cs="Arial"/>
          <w:color w:val="000000"/>
          <w:sz w:val="20"/>
          <w:szCs w:val="20"/>
        </w:rPr>
        <w:t>Skills</w:t>
      </w:r>
      <w:proofErr w:type="spellEnd"/>
      <w:r w:rsidRPr="004F638B">
        <w:rPr>
          <w:rFonts w:ascii="Arial" w:hAnsi="Arial" w:cs="Arial"/>
          <w:color w:val="000000"/>
          <w:sz w:val="20"/>
          <w:szCs w:val="20"/>
        </w:rPr>
        <w:t xml:space="preserve"> Academy </w:t>
      </w:r>
      <w:proofErr w:type="spellStart"/>
      <w:r w:rsidRPr="004F638B">
        <w:rPr>
          <w:rFonts w:ascii="Arial" w:hAnsi="Arial" w:cs="Arial"/>
          <w:color w:val="000000"/>
          <w:sz w:val="20"/>
          <w:szCs w:val="20"/>
        </w:rPr>
        <w:t>Pledge</w:t>
      </w:r>
      <w:proofErr w:type="spellEnd"/>
      <w:r w:rsidR="00B409DD">
        <w:rPr>
          <w:rFonts w:ascii="Arial" w:hAnsi="Arial" w:cs="Arial"/>
          <w:color w:val="000000"/>
          <w:sz w:val="20"/>
          <w:szCs w:val="20"/>
        </w:rPr>
        <w:t>,</w:t>
      </w:r>
      <w:r w:rsidRPr="004F638B">
        <w:rPr>
          <w:rFonts w:ascii="Arial" w:hAnsi="Arial" w:cs="Arial"/>
          <w:color w:val="000000"/>
          <w:sz w:val="20"/>
          <w:szCs w:val="20"/>
        </w:rPr>
        <w:t xml:space="preserve"> są pomocne w budowaniu brakujących kompetencji, jednak będzie do tego potrzebna szeroka współpraca pomiędzy sektorem publicznym a prywatnym. Dlatego w 2025 r. będziemy obserwować zwiększenie liczby partnerstw między liderami branży, rządami i instytucjami akademickimi w celu kształcenia talentów nowej generacji w dziedzinie cyberbezpieczeństwa (już teraz widoczny jest silny nacisk na takie działania ze strony Komisji Europejskiej, ENISA i innych instytucji). Wysiłki te będą miały kluczowe znaczenie dla pomyślnego wdrożenia ram regulacyjnych i zwiększenia ogólnej odporności europejskiego ekosystemu cyberbezpieczeństwa.</w:t>
      </w:r>
    </w:p>
    <w:p w:rsidRPr="004F638B" w:rsidR="00F50456" w:rsidP="004F638B" w:rsidRDefault="00F50456" w14:paraId="47741DE0" w14:textId="7777777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4F638B" w:rsidR="00F50456" w:rsidP="004F638B" w:rsidRDefault="00847826" w14:paraId="53BE546E" w14:textId="24DD235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F638B">
        <w:rPr>
          <w:rFonts w:ascii="Arial" w:hAnsi="Arial" w:cs="Arial"/>
          <w:b/>
          <w:bCs/>
          <w:color w:val="000000"/>
          <w:sz w:val="20"/>
          <w:szCs w:val="20"/>
        </w:rPr>
        <w:t>3. Przejrzystość i współpraca będą kluczowe</w:t>
      </w:r>
    </w:p>
    <w:p w:rsidRPr="004F638B" w:rsidR="00F50456" w:rsidP="004F638B" w:rsidRDefault="00847826" w14:paraId="3F94E2C4" w14:textId="4A2BC7C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F638B">
        <w:rPr>
          <w:rFonts w:ascii="Arial" w:hAnsi="Arial" w:cs="Arial"/>
          <w:color w:val="000000"/>
          <w:sz w:val="20"/>
          <w:szCs w:val="20"/>
        </w:rPr>
        <w:t xml:space="preserve">Przejrzystość i współpraca stają się najważniejszymi elementami zgodności z przepisami. Nowe regulacje podkreślają potrzebę wymiany informacji między dostawcami rozwiązań, partnerami, klientami i organami publicznymi w celu poprawy wykrywania zagrożeń i reagowania na nie. Konieczne jest także zacieśnienie współpracy transgranicznej między organami regulacyjnymi. Wymiana informacji stawia przed organizacjami kolejne wyzwanie jakim jest zapewnienie przejrzystości i dostępności danych przy jednoczesnej ochronie </w:t>
      </w:r>
      <w:r w:rsidR="004F638B">
        <w:rPr>
          <w:rFonts w:ascii="Arial" w:hAnsi="Arial" w:cs="Arial"/>
          <w:color w:val="000000"/>
          <w:sz w:val="20"/>
          <w:szCs w:val="20"/>
        </w:rPr>
        <w:t xml:space="preserve">tych </w:t>
      </w:r>
      <w:r w:rsidRPr="004F638B">
        <w:rPr>
          <w:rFonts w:ascii="Arial" w:hAnsi="Arial" w:cs="Arial"/>
          <w:color w:val="000000"/>
          <w:sz w:val="20"/>
          <w:szCs w:val="20"/>
        </w:rPr>
        <w:t>wrażliwych.</w:t>
      </w:r>
      <w:r w:rsidR="004F638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F638B">
        <w:rPr>
          <w:rFonts w:ascii="Arial" w:hAnsi="Arial" w:cs="Arial"/>
          <w:color w:val="000000"/>
          <w:sz w:val="20"/>
          <w:szCs w:val="20"/>
        </w:rPr>
        <w:t>Ramy skutecznej i bezpiecznej wymiany informacji prawdopodobnie zaczną być wyraźniej definiowane w 2025 r. i będą się kształtować się w miarę wdrażania dyrektywy NIS2.</w:t>
      </w:r>
    </w:p>
    <w:p w:rsidRPr="004F638B" w:rsidR="00F50456" w:rsidP="004F638B" w:rsidRDefault="00F50456" w14:paraId="4DCC52E4" w14:textId="7777777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4F638B" w:rsidR="00F50456" w:rsidP="004F638B" w:rsidRDefault="00847826" w14:paraId="14390BBB" w14:textId="71AB51BB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F638B">
        <w:rPr>
          <w:rFonts w:ascii="Arial" w:hAnsi="Arial" w:cs="Arial"/>
          <w:b/>
          <w:bCs/>
          <w:color w:val="000000"/>
          <w:sz w:val="20"/>
          <w:szCs w:val="20"/>
        </w:rPr>
        <w:t>4. Suwerenność danych i europejskie innowacje</w:t>
      </w:r>
    </w:p>
    <w:p w:rsidRPr="004F638B" w:rsidR="00F50456" w:rsidP="004F638B" w:rsidRDefault="00847826" w14:paraId="6B83D268" w14:textId="7C1929D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F638B">
        <w:rPr>
          <w:rFonts w:ascii="Arial" w:hAnsi="Arial" w:cs="Arial"/>
          <w:color w:val="000000"/>
          <w:sz w:val="20"/>
          <w:szCs w:val="20"/>
        </w:rPr>
        <w:t xml:space="preserve">Dążenie Europy do wzmocnienia suwerenności danych oraz wspierania innowacji przyspieszy w 2025 roku, ponieważ UE </w:t>
      </w:r>
      <w:r w:rsidR="004F638B">
        <w:rPr>
          <w:rFonts w:ascii="Arial" w:hAnsi="Arial" w:cs="Arial"/>
          <w:color w:val="000000"/>
          <w:sz w:val="20"/>
          <w:szCs w:val="20"/>
        </w:rPr>
        <w:t>zmierza</w:t>
      </w:r>
      <w:r w:rsidRPr="004F638B">
        <w:rPr>
          <w:rFonts w:ascii="Arial" w:hAnsi="Arial" w:cs="Arial"/>
          <w:color w:val="000000"/>
          <w:sz w:val="20"/>
          <w:szCs w:val="20"/>
        </w:rPr>
        <w:t xml:space="preserve"> do wypełnienia luki innowacyjnej i pozycjonuje się jako lider w zakresie danych i usług w chmurze. Należy się spodziewać jaśniejszych definicji opisujących suwerenności danych oraz wymogów dotyczących infrastruktury chmury. Promując krajowych liderów w dziedzinie danych i usług </w:t>
      </w:r>
      <w:r w:rsidRPr="004F638B">
        <w:rPr>
          <w:rFonts w:ascii="Arial" w:hAnsi="Arial" w:cs="Arial"/>
          <w:i/>
          <w:iCs/>
          <w:color w:val="000000"/>
          <w:sz w:val="20"/>
          <w:szCs w:val="20"/>
        </w:rPr>
        <w:t>cloud computing</w:t>
      </w:r>
      <w:r w:rsidRPr="004F638B">
        <w:rPr>
          <w:rFonts w:ascii="Arial" w:hAnsi="Arial" w:cs="Arial"/>
          <w:color w:val="000000"/>
          <w:sz w:val="20"/>
          <w:szCs w:val="20"/>
        </w:rPr>
        <w:t>, UE stara się zachęcać do regionalnej konkurencji i tworzenia innowacji. Nie chodzi tu wyłącznie o regulacje, ale o stworzenie nowych możliwości.</w:t>
      </w:r>
    </w:p>
    <w:p w:rsidRPr="004F638B" w:rsidR="00F50456" w:rsidP="004F638B" w:rsidRDefault="00F50456" w14:paraId="3B2BD8F1" w14:textId="7777777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4F638B" w:rsidR="00F50456" w:rsidP="004F638B" w:rsidRDefault="00847826" w14:paraId="27DF7B19" w14:textId="64F9EF66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F638B">
        <w:rPr>
          <w:rFonts w:ascii="Arial" w:hAnsi="Arial" w:cs="Arial"/>
          <w:b/>
          <w:bCs/>
          <w:color w:val="000000"/>
          <w:sz w:val="20"/>
          <w:szCs w:val="20"/>
        </w:rPr>
        <w:t>Przygotowania na rok 2025 i kolejne lata</w:t>
      </w:r>
    </w:p>
    <w:p w:rsidR="004F638B" w:rsidP="004F638B" w:rsidRDefault="00847826" w14:paraId="42C089B8" w14:textId="4C52DA0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F638B">
        <w:rPr>
          <w:rFonts w:ascii="Arial" w:hAnsi="Arial" w:cs="Arial"/>
          <w:color w:val="000000"/>
          <w:sz w:val="20"/>
          <w:szCs w:val="20"/>
        </w:rPr>
        <w:t xml:space="preserve">Rok 2025 będzie przełomowy dla wzmocnienia cyberbezpieczeństwa w Europie. Wraz z wejściem w życie nowych przepisów i </w:t>
      </w:r>
      <w:r w:rsidR="004F638B">
        <w:rPr>
          <w:rFonts w:ascii="Arial" w:hAnsi="Arial" w:cs="Arial"/>
          <w:color w:val="000000"/>
          <w:sz w:val="20"/>
          <w:szCs w:val="20"/>
        </w:rPr>
        <w:t>wdrażaniem ich przez firmy</w:t>
      </w:r>
      <w:r w:rsidRPr="004F638B">
        <w:rPr>
          <w:rFonts w:ascii="Arial" w:hAnsi="Arial" w:cs="Arial"/>
          <w:color w:val="000000"/>
          <w:sz w:val="20"/>
          <w:szCs w:val="20"/>
        </w:rPr>
        <w:t xml:space="preserve">, </w:t>
      </w:r>
      <w:r w:rsidR="004F638B">
        <w:rPr>
          <w:rFonts w:ascii="Arial" w:hAnsi="Arial" w:cs="Arial"/>
          <w:color w:val="000000"/>
          <w:sz w:val="20"/>
          <w:szCs w:val="20"/>
        </w:rPr>
        <w:t>zachowanie</w:t>
      </w:r>
      <w:r w:rsidRPr="004F638B">
        <w:rPr>
          <w:rFonts w:ascii="Arial" w:hAnsi="Arial" w:cs="Arial"/>
          <w:color w:val="000000"/>
          <w:sz w:val="20"/>
          <w:szCs w:val="20"/>
        </w:rPr>
        <w:t xml:space="preserve"> zgodności z przepisami </w:t>
      </w:r>
      <w:r w:rsidR="004F638B">
        <w:rPr>
          <w:rFonts w:ascii="Arial" w:hAnsi="Arial" w:cs="Arial"/>
          <w:color w:val="000000"/>
          <w:sz w:val="20"/>
          <w:szCs w:val="20"/>
        </w:rPr>
        <w:t xml:space="preserve">przestanie być </w:t>
      </w:r>
      <w:r w:rsidRPr="006C4438" w:rsidR="004F638B">
        <w:rPr>
          <w:rFonts w:ascii="Arial" w:hAnsi="Arial" w:cs="Arial"/>
          <w:color w:val="000000"/>
          <w:sz w:val="20"/>
          <w:szCs w:val="20"/>
        </w:rPr>
        <w:t>postrzegane</w:t>
      </w:r>
      <w:r w:rsidR="004F638B">
        <w:rPr>
          <w:rFonts w:ascii="Arial" w:hAnsi="Arial" w:cs="Arial"/>
          <w:color w:val="000000"/>
          <w:sz w:val="20"/>
          <w:szCs w:val="20"/>
        </w:rPr>
        <w:t xml:space="preserve"> tylko </w:t>
      </w:r>
      <w:r w:rsidRPr="004F638B">
        <w:rPr>
          <w:rFonts w:ascii="Arial" w:hAnsi="Arial" w:cs="Arial"/>
          <w:color w:val="000000"/>
          <w:sz w:val="20"/>
          <w:szCs w:val="20"/>
        </w:rPr>
        <w:t xml:space="preserve">jako </w:t>
      </w:r>
      <w:r w:rsidR="004F638B">
        <w:rPr>
          <w:rFonts w:ascii="Arial" w:hAnsi="Arial" w:cs="Arial"/>
          <w:color w:val="000000"/>
          <w:sz w:val="20"/>
          <w:szCs w:val="20"/>
        </w:rPr>
        <w:t xml:space="preserve">formalne ramy </w:t>
      </w:r>
      <w:r w:rsidR="00D33549">
        <w:rPr>
          <w:rFonts w:ascii="Arial" w:hAnsi="Arial" w:cs="Arial"/>
          <w:color w:val="000000"/>
          <w:sz w:val="20"/>
          <w:szCs w:val="20"/>
        </w:rPr>
        <w:t>postępowania</w:t>
      </w:r>
      <w:r w:rsidR="004F638B">
        <w:rPr>
          <w:rFonts w:ascii="Arial" w:hAnsi="Arial" w:cs="Arial"/>
          <w:color w:val="000000"/>
          <w:sz w:val="20"/>
          <w:szCs w:val="20"/>
        </w:rPr>
        <w:t xml:space="preserve">, ale zacznie być </w:t>
      </w:r>
      <w:r w:rsidR="00D33549">
        <w:rPr>
          <w:rFonts w:ascii="Arial" w:hAnsi="Arial" w:cs="Arial"/>
          <w:color w:val="000000"/>
          <w:sz w:val="20"/>
          <w:szCs w:val="20"/>
        </w:rPr>
        <w:t xml:space="preserve">traktowane </w:t>
      </w:r>
      <w:r w:rsidR="004F638B">
        <w:rPr>
          <w:rFonts w:ascii="Arial" w:hAnsi="Arial" w:cs="Arial"/>
          <w:color w:val="000000"/>
          <w:sz w:val="20"/>
          <w:szCs w:val="20"/>
        </w:rPr>
        <w:t>jako</w:t>
      </w:r>
      <w:r w:rsidRPr="004F638B">
        <w:rPr>
          <w:rFonts w:ascii="Arial" w:hAnsi="Arial" w:cs="Arial"/>
          <w:color w:val="000000"/>
          <w:sz w:val="20"/>
          <w:szCs w:val="20"/>
        </w:rPr>
        <w:t xml:space="preserve"> wspólne i strategiczne działania</w:t>
      </w:r>
      <w:r w:rsidR="004F638B">
        <w:rPr>
          <w:rFonts w:ascii="Arial" w:hAnsi="Arial" w:cs="Arial"/>
          <w:color w:val="000000"/>
          <w:sz w:val="20"/>
          <w:szCs w:val="20"/>
        </w:rPr>
        <w:t xml:space="preserve"> wynikające ze współpracy wielu podmiotów.</w:t>
      </w:r>
    </w:p>
    <w:p w:rsidR="004F638B" w:rsidP="004F638B" w:rsidRDefault="004F638B" w14:paraId="037A25D1" w14:textId="080168B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F638B" w:rsidP="004F638B" w:rsidRDefault="004F638B" w14:paraId="28440189" w14:textId="55050236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Aby stworzyć bezpieczną,</w:t>
      </w:r>
      <w:r w:rsidRPr="004F638B">
        <w:rPr>
          <w:rFonts w:ascii="Arial" w:hAnsi="Arial" w:cs="Arial"/>
          <w:color w:val="000000"/>
          <w:sz w:val="20"/>
          <w:szCs w:val="20"/>
        </w:rPr>
        <w:t xml:space="preserve"> innowacyjn</w:t>
      </w:r>
      <w:r>
        <w:rPr>
          <w:rFonts w:ascii="Arial" w:hAnsi="Arial" w:cs="Arial"/>
          <w:color w:val="000000"/>
          <w:sz w:val="20"/>
          <w:szCs w:val="20"/>
        </w:rPr>
        <w:t>ą</w:t>
      </w:r>
      <w:r w:rsidRPr="004F638B">
        <w:rPr>
          <w:rFonts w:ascii="Arial" w:hAnsi="Arial" w:cs="Arial"/>
          <w:color w:val="000000"/>
          <w:sz w:val="20"/>
          <w:szCs w:val="20"/>
        </w:rPr>
        <w:t xml:space="preserve"> i zgodn</w:t>
      </w:r>
      <w:r>
        <w:rPr>
          <w:rFonts w:ascii="Arial" w:hAnsi="Arial" w:cs="Arial"/>
          <w:color w:val="000000"/>
          <w:sz w:val="20"/>
          <w:szCs w:val="20"/>
        </w:rPr>
        <w:t>ą</w:t>
      </w:r>
      <w:r w:rsidRPr="004F638B">
        <w:rPr>
          <w:rFonts w:ascii="Arial" w:hAnsi="Arial" w:cs="Arial"/>
          <w:color w:val="000000"/>
          <w:sz w:val="20"/>
          <w:szCs w:val="20"/>
        </w:rPr>
        <w:t xml:space="preserve"> z przepisami cyfrow</w:t>
      </w:r>
      <w:r>
        <w:rPr>
          <w:rFonts w:ascii="Arial" w:hAnsi="Arial" w:cs="Arial"/>
          <w:color w:val="000000"/>
          <w:sz w:val="20"/>
          <w:szCs w:val="20"/>
        </w:rPr>
        <w:t xml:space="preserve">ą przyszłość, konieczna </w:t>
      </w:r>
      <w:r w:rsidRPr="004F638B">
        <w:rPr>
          <w:rFonts w:ascii="Arial" w:hAnsi="Arial" w:cs="Arial"/>
          <w:color w:val="000000"/>
          <w:sz w:val="20"/>
          <w:szCs w:val="20"/>
        </w:rPr>
        <w:t xml:space="preserve">jest </w:t>
      </w:r>
      <w:r>
        <w:rPr>
          <w:rFonts w:ascii="Arial" w:hAnsi="Arial" w:cs="Arial"/>
          <w:color w:val="000000"/>
          <w:sz w:val="20"/>
          <w:szCs w:val="20"/>
        </w:rPr>
        <w:t>transgraniczna współpraca</w:t>
      </w:r>
      <w:r w:rsidRPr="004F638B">
        <w:rPr>
          <w:rFonts w:ascii="Arial" w:hAnsi="Arial" w:cs="Arial"/>
          <w:color w:val="000000"/>
          <w:sz w:val="20"/>
          <w:szCs w:val="20"/>
        </w:rPr>
        <w:t xml:space="preserve"> między różnymi branżami i sektorami. Pom</w:t>
      </w:r>
      <w:r>
        <w:rPr>
          <w:rFonts w:ascii="Arial" w:hAnsi="Arial" w:cs="Arial"/>
          <w:color w:val="000000"/>
          <w:sz w:val="20"/>
          <w:szCs w:val="20"/>
        </w:rPr>
        <w:t>oże to</w:t>
      </w:r>
      <w:r w:rsidRPr="004F638B">
        <w:rPr>
          <w:rFonts w:ascii="Arial" w:hAnsi="Arial" w:cs="Arial"/>
          <w:color w:val="000000"/>
          <w:sz w:val="20"/>
          <w:szCs w:val="20"/>
        </w:rPr>
        <w:t xml:space="preserve"> organizacjom zarówno w </w:t>
      </w:r>
      <w:r w:rsidRPr="004F638B">
        <w:rPr>
          <w:rFonts w:ascii="Arial" w:hAnsi="Arial" w:cs="Arial"/>
          <w:color w:val="000000"/>
          <w:sz w:val="20"/>
          <w:szCs w:val="20"/>
        </w:rPr>
        <w:lastRenderedPageBreak/>
        <w:t xml:space="preserve">poruszaniu się </w:t>
      </w:r>
      <w:r>
        <w:rPr>
          <w:rFonts w:ascii="Arial" w:hAnsi="Arial" w:cs="Arial"/>
          <w:color w:val="000000"/>
          <w:sz w:val="20"/>
          <w:szCs w:val="20"/>
        </w:rPr>
        <w:t>w obszarze nowych regulacji</w:t>
      </w:r>
      <w:r w:rsidRPr="004F638B">
        <w:rPr>
          <w:rFonts w:ascii="Arial" w:hAnsi="Arial" w:cs="Arial"/>
          <w:color w:val="000000"/>
          <w:sz w:val="20"/>
          <w:szCs w:val="20"/>
        </w:rPr>
        <w:t xml:space="preserve"> regulacj</w:t>
      </w:r>
      <w:r>
        <w:rPr>
          <w:rFonts w:ascii="Arial" w:hAnsi="Arial" w:cs="Arial"/>
          <w:color w:val="000000"/>
          <w:sz w:val="20"/>
          <w:szCs w:val="20"/>
        </w:rPr>
        <w:t>i,</w:t>
      </w:r>
      <w:r w:rsidRPr="004F638B">
        <w:rPr>
          <w:rFonts w:ascii="Arial" w:hAnsi="Arial" w:cs="Arial"/>
          <w:color w:val="000000"/>
          <w:sz w:val="20"/>
          <w:szCs w:val="20"/>
        </w:rPr>
        <w:t xml:space="preserve"> jak i budowaniu ram cyberbezpieczeństwa zapewniających jak największą </w:t>
      </w:r>
      <w:r>
        <w:rPr>
          <w:rFonts w:ascii="Arial" w:hAnsi="Arial" w:cs="Arial"/>
          <w:color w:val="000000"/>
          <w:sz w:val="20"/>
          <w:szCs w:val="20"/>
        </w:rPr>
        <w:t>odporność na zagrożenia.</w:t>
      </w:r>
    </w:p>
    <w:p w:rsidR="006C4438" w:rsidP="004F638B" w:rsidRDefault="006C4438" w14:paraId="405D7A78" w14:textId="7777777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6C4438" w:rsidR="006C4438" w:rsidP="4F3D95A9" w:rsidRDefault="006C4438" w14:paraId="38722D31" w14:textId="38DF3D8E">
      <w:pPr>
        <w:spacing w:line="360" w:lineRule="auto"/>
        <w:jc w:val="both"/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</w:pPr>
      <w:r w:rsidRPr="4F3D95A9" w:rsidR="006C4438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sz w:val="20"/>
          <w:szCs w:val="20"/>
          <w:lang w:val="en-US"/>
        </w:rPr>
        <w:t>Alessandro Liotta, Regulatory Affairs Lead for Europe</w:t>
      </w:r>
      <w:r w:rsidRPr="4F3D95A9" w:rsidR="006C4438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 xml:space="preserve"> w Fortinet</w:t>
      </w:r>
    </w:p>
    <w:p w:rsidRPr="006C4438" w:rsidR="006C4438" w:rsidP="004F638B" w:rsidRDefault="006C4438" w14:paraId="6A7A8BD5" w14:textId="77777777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Pr="006C4438" w:rsidR="004D7FCE" w:rsidP="004F638B" w:rsidRDefault="004D7FCE" w14:paraId="0745B5A8" w14:textId="7777777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sectPr w:rsidRPr="006C4438" w:rsidR="004D7FCE">
      <w:type w:val="continuous"/>
      <w:pgSz w:w="11906" w:h="16838" w:orient="portrait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43BE" w:rsidRDefault="006843BE" w14:paraId="3627A84D" w14:textId="77777777">
      <w:r>
        <w:separator/>
      </w:r>
    </w:p>
  </w:endnote>
  <w:endnote w:type="continuationSeparator" w:id="0">
    <w:p w:rsidR="006843BE" w:rsidRDefault="006843BE" w14:paraId="3410515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43BE" w:rsidRDefault="006843BE" w14:paraId="06A704F8" w14:textId="77777777">
      <w:r>
        <w:rPr>
          <w:rFonts w:cs="Times New Roman"/>
          <w:kern w:val="0"/>
          <w:lang w:eastAsia="pl-PL" w:bidi="ar-SA"/>
        </w:rPr>
        <w:separator/>
      </w:r>
    </w:p>
  </w:footnote>
  <w:footnote w:type="continuationSeparator" w:id="0">
    <w:p w:rsidR="006843BE" w:rsidRDefault="006843BE" w14:paraId="658606D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Liberation Serif" w:hAnsi="Liberation Serif" w:cs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cs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cs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cs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cs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cs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cs="OpenSymbol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 w16cid:durableId="1974671489">
    <w:abstractNumId w:val="0"/>
  </w:num>
  <w:num w:numId="2" w16cid:durableId="853810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trackRevisions w:val="false"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11"/>
    <w:rsid w:val="00167AAF"/>
    <w:rsid w:val="001E01E4"/>
    <w:rsid w:val="002D16EB"/>
    <w:rsid w:val="003B5E11"/>
    <w:rsid w:val="004D7FCE"/>
    <w:rsid w:val="004F638B"/>
    <w:rsid w:val="00532DDE"/>
    <w:rsid w:val="006843BE"/>
    <w:rsid w:val="006C4438"/>
    <w:rsid w:val="007C76BD"/>
    <w:rsid w:val="00847826"/>
    <w:rsid w:val="008C55E6"/>
    <w:rsid w:val="00931454"/>
    <w:rsid w:val="00AB643F"/>
    <w:rsid w:val="00B409DD"/>
    <w:rsid w:val="00B80DC9"/>
    <w:rsid w:val="00BC491F"/>
    <w:rsid w:val="00D33549"/>
    <w:rsid w:val="00EE7A1D"/>
    <w:rsid w:val="00F0635F"/>
    <w:rsid w:val="00F50456"/>
    <w:rsid w:val="00FE0540"/>
    <w:rsid w:val="4F3D9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AF069"/>
  <w14:defaultImageDpi w14:val="0"/>
  <w15:docId w15:val="{1D82C7D1-3879-49E1-B2C6-2F0B4965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hAnsi="Aptos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  <w:autoSpaceDE w:val="0"/>
      <w:autoSpaceDN w:val="0"/>
      <w:adjustRightInd w:val="0"/>
    </w:pPr>
    <w:rPr>
      <w:rFonts w:ascii="Liberation Serif" w:hAnsi="Liberation Serif" w:cs="Lucida Sans"/>
      <w:kern w:val="1"/>
      <w:sz w:val="24"/>
      <w:szCs w:val="24"/>
      <w:lang w:eastAsia="zh-CN" w:bidi="hi-I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ListLabel1" w:customStyle="1">
    <w:name w:val="ListLabel 1"/>
    <w:uiPriority w:val="99"/>
    <w:rPr>
      <w:rFonts w:cs="OpenSymbol"/>
    </w:rPr>
  </w:style>
  <w:style w:type="character" w:styleId="ListLabel2" w:customStyle="1">
    <w:name w:val="ListLabel 2"/>
    <w:uiPriority w:val="99"/>
    <w:rPr>
      <w:rFonts w:cs="OpenSymbol"/>
    </w:rPr>
  </w:style>
  <w:style w:type="character" w:styleId="ListLabel3" w:customStyle="1">
    <w:name w:val="ListLabel 3"/>
    <w:uiPriority w:val="99"/>
    <w:rPr>
      <w:rFonts w:cs="OpenSymbol"/>
    </w:rPr>
  </w:style>
  <w:style w:type="character" w:styleId="ListLabel4" w:customStyle="1">
    <w:name w:val="ListLabel 4"/>
    <w:uiPriority w:val="99"/>
    <w:rPr>
      <w:rFonts w:cs="OpenSymbol"/>
    </w:rPr>
  </w:style>
  <w:style w:type="character" w:styleId="ListLabel5" w:customStyle="1">
    <w:name w:val="ListLabel 5"/>
    <w:uiPriority w:val="99"/>
    <w:rPr>
      <w:rFonts w:cs="OpenSymbol"/>
    </w:rPr>
  </w:style>
  <w:style w:type="character" w:styleId="ListLabel6" w:customStyle="1">
    <w:name w:val="ListLabel 6"/>
    <w:uiPriority w:val="99"/>
    <w:rPr>
      <w:rFonts w:cs="OpenSymbol"/>
    </w:rPr>
  </w:style>
  <w:style w:type="character" w:styleId="ListLabel7" w:customStyle="1">
    <w:name w:val="ListLabel 7"/>
    <w:uiPriority w:val="99"/>
    <w:rPr>
      <w:rFonts w:cs="OpenSymbol"/>
    </w:rPr>
  </w:style>
  <w:style w:type="character" w:styleId="ListLabel8" w:customStyle="1">
    <w:name w:val="ListLabel 8"/>
    <w:uiPriority w:val="99"/>
    <w:rPr>
      <w:rFonts w:cs="OpenSymbol"/>
    </w:rPr>
  </w:style>
  <w:style w:type="character" w:styleId="ListLabel9" w:customStyle="1">
    <w:name w:val="ListLabel 9"/>
    <w:uiPriority w:val="99"/>
    <w:rPr>
      <w:rFonts w:cs="OpenSymbol"/>
    </w:rPr>
  </w:style>
  <w:style w:type="character" w:styleId="ListLabel10" w:customStyle="1">
    <w:name w:val="ListLabel 10"/>
    <w:uiPriority w:val="99"/>
  </w:style>
  <w:style w:type="character" w:styleId="ListLabel11" w:customStyle="1">
    <w:name w:val="ListLabel 11"/>
    <w:uiPriority w:val="99"/>
  </w:style>
  <w:style w:type="character" w:styleId="ListLabel12" w:customStyle="1">
    <w:name w:val="ListLabel 12"/>
    <w:uiPriority w:val="99"/>
  </w:style>
  <w:style w:type="character" w:styleId="ListLabel13" w:customStyle="1">
    <w:name w:val="ListLabel 13"/>
    <w:uiPriority w:val="99"/>
  </w:style>
  <w:style w:type="character" w:styleId="ListLabel14" w:customStyle="1">
    <w:name w:val="ListLabel 14"/>
    <w:uiPriority w:val="99"/>
  </w:style>
  <w:style w:type="character" w:styleId="ListLabel15" w:customStyle="1">
    <w:name w:val="ListLabel 15"/>
    <w:uiPriority w:val="99"/>
  </w:style>
  <w:style w:type="character" w:styleId="ListLabel16" w:customStyle="1">
    <w:name w:val="ListLabel 16"/>
    <w:uiPriority w:val="99"/>
  </w:style>
  <w:style w:type="character" w:styleId="ListLabel17" w:customStyle="1">
    <w:name w:val="ListLabel 17"/>
    <w:uiPriority w:val="99"/>
  </w:style>
  <w:style w:type="character" w:styleId="ListLabel18" w:customStyle="1">
    <w:name w:val="ListLabel 18"/>
    <w:uiPriority w:val="99"/>
  </w:style>
  <w:style w:type="paragraph" w:styleId="Nagb3f3wek" w:customStyle="1">
    <w:name w:val="Nagłb3óf3wek"/>
    <w:basedOn w:val="Normalny"/>
    <w:next w:val="Tekstpodstawowy"/>
    <w:uiPriority w:val="99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40" w:line="276" w:lineRule="auto"/>
    </w:pPr>
  </w:style>
  <w:style w:type="character" w:styleId="TekstpodstawowyZnak" w:customStyle="1">
    <w:name w:val="Tekst podstawowy Znak"/>
    <w:link w:val="Tekstpodstawowy"/>
    <w:uiPriority w:val="99"/>
    <w:semiHidden/>
    <w:rPr>
      <w:rFonts w:ascii="Liberation Serif" w:hAnsi="Liberation Serif" w:eastAsia="Times New Roman" w:cs="Mangal"/>
      <w:kern w:val="1"/>
      <w:szCs w:val="21"/>
      <w:lang w:eastAsia="zh-CN" w:bidi="hi-IN"/>
    </w:rPr>
  </w:style>
  <w:style w:type="paragraph" w:styleId="Lista">
    <w:name w:val="List"/>
    <w:basedOn w:val="Tekstpodstawowy"/>
    <w:uiPriority w:val="99"/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</w:rPr>
  </w:style>
  <w:style w:type="paragraph" w:styleId="Indeks" w:customStyle="1">
    <w:name w:val="Indeks"/>
    <w:basedOn w:val="Normalny"/>
    <w:uiPriority w:val="99"/>
  </w:style>
  <w:style w:type="character" w:styleId="Odwoaniedokomentarza">
    <w:name w:val="annotation reference"/>
    <w:basedOn w:val="Domylnaczcionkaakapitu"/>
    <w:uiPriority w:val="99"/>
    <w:semiHidden/>
    <w:unhideWhenUsed/>
    <w:rsid w:val="008478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7826"/>
    <w:rPr>
      <w:rFonts w:cs="Mangal"/>
      <w:sz w:val="20"/>
      <w:szCs w:val="18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847826"/>
    <w:rPr>
      <w:rFonts w:ascii="Liberation Serif" w:hAnsi="Liberation Serif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826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847826"/>
    <w:rPr>
      <w:rFonts w:ascii="Liberation Serif" w:hAnsi="Liberation Serif" w:cs="Mangal"/>
      <w:b/>
      <w:bCs/>
      <w:kern w:val="1"/>
      <w:szCs w:val="18"/>
      <w:lang w:eastAsia="zh-CN" w:bidi="hi-IN"/>
    </w:rPr>
  </w:style>
  <w:style w:type="paragraph" w:styleId="Poprawka">
    <w:name w:val="Revision"/>
    <w:hidden/>
    <w:uiPriority w:val="99"/>
    <w:semiHidden/>
    <w:rsid w:val="008C55E6"/>
    <w:rPr>
      <w:rFonts w:ascii="Liberation Serif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836C5E7-DAB8-4B1D-834C-5D02D8D13AB3}">
  <we:reference id="ea3b7a11-ffa3-4696-9f39-deb2e1429351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b3c0cda-7569-4400-9823-cd647202cc97">
      <Terms xmlns="http://schemas.microsoft.com/office/infopath/2007/PartnerControls"/>
    </lcf76f155ced4ddcb4097134ff3c332f>
    <_ip_UnifiedCompliancePolicyProperties xmlns="http://schemas.microsoft.com/sharepoint/v3" xsi:nil="true"/>
    <TaxCatchAll xmlns="b56d488a-a1ec-4050-9053-8cf6837c3a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C4CE8855EACB4D9145D398F74B44FD" ma:contentTypeVersion="20" ma:contentTypeDescription="Utwórz nowy dokument." ma:contentTypeScope="" ma:versionID="4cf8e5ddaffbe9841e0532b05da8a779">
  <xsd:schema xmlns:xsd="http://www.w3.org/2001/XMLSchema" xmlns:xs="http://www.w3.org/2001/XMLSchema" xmlns:p="http://schemas.microsoft.com/office/2006/metadata/properties" xmlns:ns1="http://schemas.microsoft.com/sharepoint/v3" xmlns:ns2="fb3c0cda-7569-4400-9823-cd647202cc97" xmlns:ns3="b56d488a-a1ec-4050-9053-8cf6837c3a19" targetNamespace="http://schemas.microsoft.com/office/2006/metadata/properties" ma:root="true" ma:fieldsID="6678b1112a3d3bfe022cb9338d72d33b" ns1:_="" ns2:_="" ns3:_="">
    <xsd:import namespace="http://schemas.microsoft.com/sharepoint/v3"/>
    <xsd:import namespace="fb3c0cda-7569-4400-9823-cd647202cc97"/>
    <xsd:import namespace="b56d488a-a1ec-4050-9053-8cf6837c3a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c0cda-7569-4400-9823-cd647202c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0421c0d-218e-4a6c-a7e0-f38f9e32bf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d488a-a1ec-4050-9053-8cf6837c3a1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1616fe-60e7-400a-be2d-0fbd4226e5e6}" ma:internalName="TaxCatchAll" ma:showField="CatchAllData" ma:web="b56d488a-a1ec-4050-9053-8cf6837c3a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05B96-B040-432C-9B1E-AE32C5A4BC5A}">
  <ds:schemaRefs>
    <ds:schemaRef ds:uri="http://www.w3.org/XML/1998/namespace"/>
    <ds:schemaRef ds:uri="fb3c0cda-7569-4400-9823-cd647202cc97"/>
    <ds:schemaRef ds:uri="http://schemas.microsoft.com/office/2006/documentManagement/types"/>
    <ds:schemaRef ds:uri="b56d488a-a1ec-4050-9053-8cf6837c3a1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0F84A47-3825-4D49-8F64-D92558D96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B4C22-4EB2-4DE7-8D99-418F6A2CF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3c0cda-7569-4400-9823-cd647202cc97"/>
    <ds:schemaRef ds:uri="b56d488a-a1ec-4050-9053-8cf6837c3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c052e42-013d-4676-9f4b-b87bf5db00e8}" enabled="0" method="" siteId="{4c052e42-013d-4676-9f4b-b87bf5db00e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Artur Szeremeta</dc:creator>
  <keywords/>
  <dc:description/>
  <lastModifiedBy>Stefan Kaczmarek</lastModifiedBy>
  <revision>3</revision>
  <dcterms:created xsi:type="dcterms:W3CDTF">2025-01-20T09:00:00.0000000Z</dcterms:created>
  <dcterms:modified xsi:type="dcterms:W3CDTF">2025-01-21T07:22:57.6216420Z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0x0101001EC4CE8855EACB4D9145D398F74B44FD</vt:lpwstr>
  </property>
  <property fmtid="{D5CDD505-2E9C-101B-9397-08002B2CF9AE}" pid="3" name="MediaServiceImageTags">
    <vt:lpwstr/>
  </property>
</Properties>
</file>