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游ゴシック" w:eastAsiaTheme="minorEastAsia"/>
          <w:b/>
          <w:bCs/>
          <w:color w:val="E97032"/>
          <w:sz w:val="24"/>
          <w:szCs w:val="24"/>
          <w:lang w:val="pl-PL"/>
        </w:rPr>
      </w:pPr>
      <w:r>
        <w:rPr>
          <w:rFonts w:eastAsia="游ゴシック" w:eastAsiaTheme="minorEastAsia"/>
          <w:b/>
          <w:bCs/>
          <w:color w:val="E97032"/>
          <w:sz w:val="24"/>
          <w:szCs w:val="24"/>
          <w:lang w:val="pl-PL"/>
        </w:rPr>
        <w:t>Vertiv udostępnia nową, bazującą na sztucznej inteligencji usługę konserwacji predykcyjnej dla nowoczesnych centrów danych i fabryk AI</w:t>
      </w:r>
    </w:p>
    <w:p>
      <w:pPr>
        <w:pStyle w:val="Normal"/>
        <w:jc w:val="center"/>
        <w:rPr>
          <w:rFonts w:ascii="Aptos" w:hAnsi="Aptos" w:eastAsia="Aptos" w:cs="Aptos"/>
          <w:b/>
          <w:bCs/>
          <w:i/>
          <w:iCs/>
          <w:color w:themeColor="text1" w:val="000000"/>
          <w:sz w:val="24"/>
          <w:szCs w:val="24"/>
          <w:lang w:val="pl-PL"/>
        </w:rPr>
      </w:pPr>
      <w:r>
        <w:rPr>
          <w:rFonts w:eastAsia="Aptos" w:cs="Aptos" w:ascii="Aptos" w:hAnsi="Aptos"/>
          <w:b/>
          <w:bCs/>
          <w:i/>
          <w:iCs/>
          <w:color w:themeColor="text1" w:val="000000"/>
          <w:sz w:val="24"/>
          <w:szCs w:val="24"/>
          <w:lang w:val="pl-PL"/>
        </w:rPr>
        <w:t>Vertiv Next Predict to nowa zarządzana usługa, która łączy wiedzę ekspertów z zaawansowanymi algorytmami uczenia maszynowego, aby przewidywać potencjalne problemy zanim wystąpią.</w:t>
      </w:r>
    </w:p>
    <w:p>
      <w:pPr>
        <w:pStyle w:val="Normal"/>
        <w:jc w:val="center"/>
        <w:rPr>
          <w:b/>
          <w:i/>
          <w:sz w:val="24"/>
          <w:szCs w:val="24"/>
          <w:lang w:val="pl-PL"/>
        </w:rPr>
      </w:pPr>
      <w:r>
        <w:rPr>
          <w:b/>
          <w:i/>
          <w:sz w:val="24"/>
          <w:szCs w:val="24"/>
          <w:lang w:val="pl-PL"/>
        </w:rPr>
      </w:r>
    </w:p>
    <w:p>
      <w:pPr>
        <w:pStyle w:val="Normal"/>
        <w:spacing w:lineRule="auto" w:line="360"/>
        <w:jc w:val="both"/>
        <w:rPr>
          <w:rFonts w:eastAsia="Arial" w:cs="Arial"/>
          <w:sz w:val="20"/>
          <w:szCs w:val="20"/>
          <w:lang w:val="pl-PL"/>
        </w:rPr>
      </w:pPr>
      <w:r>
        <w:rPr>
          <w:rFonts w:eastAsia="Arial" w:cs="Arial"/>
          <w:b/>
          <w:bCs/>
          <w:sz w:val="20"/>
          <w:szCs w:val="20"/>
          <w:lang w:val="pl-PL"/>
        </w:rPr>
        <w:t>Londyn, Wielka Brytania [27 stycznia 2026 r.]</w:t>
      </w:r>
      <w:r>
        <w:rPr>
          <w:rFonts w:eastAsia="Arial" w:cs="Arial"/>
          <w:sz w:val="20"/>
          <w:szCs w:val="20"/>
          <w:lang w:val="pl-PL"/>
        </w:rPr>
        <w:t xml:space="preserve"> – Firma Vertiv, </w:t>
      </w:r>
      <w:r>
        <w:rPr>
          <w:sz w:val="20"/>
          <w:szCs w:val="20"/>
          <w:lang w:val="pl-PL"/>
        </w:rPr>
        <w:t>światowy lider w dziedzinie infrastruktury krytycznej dla cyfrowych środowisk</w:t>
      </w:r>
      <w:r>
        <w:rPr>
          <w:rFonts w:eastAsia="Arial" w:cs="Arial"/>
          <w:sz w:val="20"/>
          <w:szCs w:val="20"/>
          <w:lang w:val="pl-PL"/>
        </w:rPr>
        <w:t xml:space="preserve">, rozpoczęła świadczenie wykorzystującej mechanizmy sztucznej inteligencji zarządzanej usługi </w:t>
      </w:r>
      <w:hyperlink r:id="rId2">
        <w:r>
          <w:rPr>
            <w:rStyle w:val="Hyperlink"/>
            <w:rFonts w:eastAsia="Arial" w:cs="Arial"/>
            <w:sz w:val="20"/>
            <w:szCs w:val="20"/>
            <w:lang w:val="pl-PL"/>
          </w:rPr>
          <w:t>Vertiv Next Predict</w:t>
        </w:r>
      </w:hyperlink>
      <w:r>
        <w:rPr>
          <w:rFonts w:eastAsia="Arial" w:cs="Arial"/>
          <w:sz w:val="20"/>
          <w:szCs w:val="20"/>
          <w:lang w:val="pl-PL"/>
        </w:rPr>
        <w:t>, która w istotny sposób zmienia podejście do utrzymania centrów danych. Wykraczając poza tradycyjne modele bazujące na harmonogramach i reagowaniu na awarie, w ramach tej usługi zindustrializowane zostały operacje serwisowe poprzez analizę zachowania zasobów jeszcze przed wystąpieniem zagrożenia dla ich pracy. Vertiv Next Predict to najnowszy element zintegrowanego portfolio infrastruktury AI firmy Vertiv, zaprojektowany z myślą o dostarczaniu predykcyjnej inteligencji w obszarach zasilania, chłodzenia i systemów IT, który przyczynia się do stworzenia spójnego i odpornego fundamentu dla centrów danych zarządzanych z wykorzystaniem sztucznej inteligencji.</w:t>
      </w:r>
    </w:p>
    <w:p>
      <w:pPr>
        <w:pStyle w:val="Normal"/>
        <w:spacing w:lineRule="auto" w:line="360"/>
        <w:jc w:val="both"/>
        <w:rPr>
          <w:rFonts w:eastAsia="Arial" w:cs="Arial"/>
          <w:sz w:val="20"/>
          <w:szCs w:val="20"/>
          <w:lang w:val="pl-PL"/>
        </w:rPr>
      </w:pPr>
      <w:r>
        <w:rPr>
          <w:rFonts w:eastAsia="Arial" w:cs="Arial"/>
          <w:sz w:val="20"/>
          <w:szCs w:val="20"/>
          <w:lang w:val="pl-PL"/>
        </w:rPr>
        <w:t>W związku z wpływem zadań obliczeniowych związanych ze sztuczną inteligencją na przekształcanie krajobrazu centrów danych, obiekty te potrzebują lepszej widzialności i większej kontroli nad krytyczną infrastrukturą, aby zapewniać ciągłość operacyjną i wysoką wydajność w dużej skali. Wdrażanie zaawansowanej analityki oraz strategii konserwacji predykcyjnej pomaga przedsiębiorstwom sprostać tym wyzwaniom oraz utrzymać stabilną wydajność w rozproszonych środowiskach.</w:t>
      </w:r>
    </w:p>
    <w:p>
      <w:pPr>
        <w:pStyle w:val="Normal"/>
        <w:spacing w:lineRule="auto" w:line="360"/>
        <w:jc w:val="both"/>
        <w:rPr>
          <w:rFonts w:eastAsia="Arial" w:cs="Arial"/>
          <w:sz w:val="20"/>
          <w:szCs w:val="20"/>
          <w:lang w:val="pl-PL"/>
        </w:rPr>
      </w:pPr>
      <w:r>
        <w:rPr>
          <w:rFonts w:eastAsia="Arial" w:cs="Arial"/>
          <w:sz w:val="20"/>
          <w:szCs w:val="20"/>
          <w:lang w:val="pl-PL"/>
        </w:rPr>
        <w:t xml:space="preserve">– </w:t>
      </w:r>
      <w:r>
        <w:rPr>
          <w:rFonts w:eastAsia="Arial" w:cs="Arial"/>
          <w:i/>
          <w:iCs/>
          <w:sz w:val="20"/>
          <w:szCs w:val="20"/>
          <w:lang w:val="pl-PL"/>
        </w:rPr>
        <w:t>Operatorzy centrów danych potrzebują innowacyjnych rozwiązań, aby wyprzedzać potencjalne zagrożenia w miarę wzrostu intensywności obliczeń i ewolucji infrastruktury</w:t>
      </w:r>
      <w:r>
        <w:rPr>
          <w:rFonts w:eastAsia="Arial" w:cs="Arial"/>
          <w:sz w:val="20"/>
          <w:szCs w:val="20"/>
          <w:lang w:val="pl-PL"/>
        </w:rPr>
        <w:t xml:space="preserve"> – powiedział Ryan Jarvis, wiceprezes działu globalnych usług w firmie Vertiv. – </w:t>
      </w:r>
      <w:r>
        <w:rPr>
          <w:rFonts w:eastAsia="Arial" w:cs="Arial"/>
          <w:i/>
          <w:iCs/>
          <w:sz w:val="20"/>
          <w:szCs w:val="20"/>
          <w:lang w:val="pl-PL"/>
        </w:rPr>
        <w:t>Vertiv Next Predict pomaga centrom danych maksymalizować dostępność, przenosząc utrzymanie infrastruktury z tradycyjnych, bazujących na kalendarzu procedur na proaktywną strategię bazującą na danych. Przechodzimy od podejmowania decyzji na podstawie założeń do tych podejmowanych na podstawie danych dzięki ciągłemu monitorowaniu stanu urządzeń oraz możliwości ograniczania ryzyka, zanim wpłynie ono na działalność operacyjną.</w:t>
      </w:r>
    </w:p>
    <w:p>
      <w:pPr>
        <w:pStyle w:val="Normal"/>
        <w:spacing w:lineRule="auto" w:line="360" w:before="240" w:after="240"/>
        <w:jc w:val="both"/>
        <w:rPr>
          <w:rFonts w:eastAsia="Arial" w:cs="Arial"/>
          <w:sz w:val="20"/>
          <w:szCs w:val="20"/>
          <w:lang w:val="pl-PL"/>
        </w:rPr>
      </w:pPr>
      <w:r>
        <w:rPr>
          <w:rFonts w:eastAsia="Arial" w:cs="Arial"/>
          <w:sz w:val="20"/>
          <w:szCs w:val="20"/>
          <w:lang w:val="pl-PL"/>
        </w:rPr>
        <w:t>Vertiv Next Predict wykorzystuje bazujące na AI mechanizmy wykrywania anomalii do ciągłej analizy warunków pracy oraz wczesnego identyfikowania odchyleń od oczekiwanego zachowania. Stosowane są także algorytmy predykcyjne oceniające potencjalny wpływ operacyjny w celu określenia poziomu ryzyka oraz ustalenia priorytetów działań. Następnie analiza przyczyn źródłowych pozwala wyodrębnić czynniki prowadzące do problemu, wspierając skuteczne i precyzyjne jego rozwiązanie. Na podstawie danych systemowych oraz konkretnego kontekstu operacyjnego definiowane są działania naprawcze, które są realizowane przez wykwalifikowany personel działu Vertiv Services.</w:t>
      </w:r>
    </w:p>
    <w:p>
      <w:pPr>
        <w:pStyle w:val="Normal"/>
        <w:spacing w:lineRule="auto" w:line="360"/>
        <w:jc w:val="both"/>
        <w:rPr>
          <w:rFonts w:eastAsia="Arial" w:cs="Arial"/>
          <w:sz w:val="20"/>
          <w:szCs w:val="20"/>
          <w:lang w:val="pl-PL"/>
        </w:rPr>
      </w:pPr>
      <w:r>
        <w:rPr>
          <w:rFonts w:eastAsia="Arial" w:cs="Arial"/>
          <w:sz w:val="20"/>
          <w:szCs w:val="20"/>
          <w:lang w:val="pl-PL"/>
        </w:rPr>
        <w:t>Usługa Vertiv Next Predict została zaprojektowana z myślą o wszechstronności i dalszym rozwoju. Obecnie zapewnia obsługę szerokiej i stale rozszerzającej się gamy platform zasilania i chłodzenia Vertiv, w tym systemów magazynowania energii w akumulatorach (BESS) oraz komponentów chłodzenia cieczą. Co istotne, stworzona została ona z myślą o skalowalności, dzięki czemu – w ramach ujednoliconej architektury usług typu grid-to-chip – umożliwia płynną integrację z technologiami przyszłości w centrach danych. Takie perspektywiczne podejście pozwala klientom wdrożyć usługę Vertiv Next Predict już dziś ze świadomością, że będzie ona rozwijała się wraz z ich potrzebami infrastrukturalnymi.</w:t>
      </w:r>
    </w:p>
    <w:p>
      <w:pPr>
        <w:pStyle w:val="Normal"/>
        <w:spacing w:lineRule="auto" w:line="360" w:before="240" w:after="240"/>
        <w:jc w:val="both"/>
        <w:rPr>
          <w:rFonts w:eastAsia="Arial" w:cs="Arial"/>
          <w:sz w:val="20"/>
          <w:szCs w:val="20"/>
          <w:lang w:val="pl-PL"/>
        </w:rPr>
      </w:pPr>
      <w:r>
        <w:rPr>
          <w:rFonts w:eastAsia="Arial" w:cs="Arial"/>
          <w:sz w:val="20"/>
          <w:szCs w:val="20"/>
          <w:lang w:val="pl-PL"/>
        </w:rPr>
        <w:t>Dział Vertiv Services dysponuje dziesięcioleciami doświadczenia w obsłudze krytycznej infrastruktury cyfrowej, globalną siecią techników przeszkolonych przez Vertiv oraz mechanizmami zaawansowanej analityki, bazującymi na sztucznej inteligencji.</w:t>
      </w:r>
    </w:p>
    <w:p>
      <w:pPr>
        <w:pStyle w:val="Normal"/>
        <w:spacing w:lineRule="auto" w:line="360" w:before="240" w:after="240"/>
        <w:jc w:val="both"/>
        <w:rPr>
          <w:rFonts w:eastAsia="Arial" w:cs="Arial"/>
          <w:sz w:val="20"/>
          <w:szCs w:val="20"/>
          <w:lang w:val="pl-PL"/>
        </w:rPr>
      </w:pPr>
      <w:r>
        <w:rPr>
          <w:rFonts w:eastAsia="Arial" w:cs="Arial"/>
          <w:sz w:val="20"/>
          <w:szCs w:val="20"/>
          <w:lang w:val="pl-PL"/>
        </w:rPr>
        <w:t xml:space="preserve">Więcej informacji na temat usługi Vertiv Next Predict oraz kompleksowych rozwiązań Vertiv w zakresie zarządzania zasilaniem i chłodzeniem (w tym skalowalnego prefabrykowanego rozwiązania infrastruktury centrów danych </w:t>
      </w:r>
      <w:hyperlink r:id="rId3">
        <w:r>
          <w:rPr>
            <w:rStyle w:val="Hyperlink"/>
            <w:rFonts w:eastAsia="Arial" w:cs="Arial"/>
            <w:sz w:val="20"/>
            <w:szCs w:val="20"/>
            <w:lang w:val="pl-PL"/>
          </w:rPr>
          <w:t>Vertiv OneCore</w:t>
        </w:r>
      </w:hyperlink>
      <w:r>
        <w:rPr>
          <w:rFonts w:eastAsia="Arial" w:cs="Arial"/>
          <w:sz w:val="20"/>
          <w:szCs w:val="20"/>
          <w:lang w:val="pl-PL"/>
        </w:rPr>
        <w:t xml:space="preserve">, modułowego systemu infrastruktury IT </w:t>
      </w:r>
      <w:hyperlink r:id="rId4">
        <w:r>
          <w:rPr>
            <w:rStyle w:val="Hyperlink"/>
            <w:rFonts w:eastAsia="Arial" w:cs="Arial"/>
            <w:sz w:val="20"/>
            <w:szCs w:val="20"/>
            <w:lang w:val="pl-PL"/>
          </w:rPr>
          <w:t>Vertiv SmartRun</w:t>
        </w:r>
      </w:hyperlink>
      <w:r>
        <w:rPr>
          <w:rFonts w:eastAsia="Arial" w:cs="Arial"/>
          <w:sz w:val="20"/>
          <w:szCs w:val="20"/>
          <w:lang w:val="pl-PL"/>
        </w:rPr>
        <w:t xml:space="preserve"> oraz rozszerzającego się portfolio Vertiv dla AI i zadań obliczeniowych o wysokiej gęstości) dostępnych jest na stronie </w:t>
      </w:r>
      <w:hyperlink r:id="rId5">
        <w:r>
          <w:rPr>
            <w:rStyle w:val="Hyperlink"/>
            <w:rFonts w:eastAsia="Arial" w:cs="Arial"/>
            <w:sz w:val="20"/>
            <w:szCs w:val="20"/>
            <w:lang w:val="pl-PL"/>
          </w:rPr>
          <w:t>Vertiv.com</w:t>
        </w:r>
      </w:hyperlink>
      <w:r>
        <w:rPr>
          <w:rFonts w:eastAsia="Arial" w:cs="Arial"/>
          <w:sz w:val="20"/>
          <w:szCs w:val="20"/>
          <w:lang w:val="pl-PL"/>
        </w:rPr>
        <w:t>.</w:t>
      </w:r>
    </w:p>
    <w:p>
      <w:pPr>
        <w:pStyle w:val="Normal"/>
        <w:jc w:val="center"/>
        <w:rPr/>
      </w:pPr>
      <w:r>
        <w:rPr/>
        <w:t># # #</w:t>
      </w:r>
    </w:p>
    <w:p>
      <w:pPr>
        <w:pStyle w:val="Normal"/>
        <w:rPr>
          <w:rFonts w:eastAsia="Aptos" w:cs="Arial"/>
        </w:rPr>
      </w:pPr>
      <w:r>
        <w:rPr>
          <w:rFonts w:eastAsia="Aptos" w:cs="Arial"/>
        </w:rPr>
      </w:r>
    </w:p>
    <w:p>
      <w:pPr>
        <w:pStyle w:val="Normal"/>
        <w:rPr>
          <w:b/>
          <w:bCs/>
          <w:lang w:val="pl-PL"/>
        </w:rPr>
      </w:pPr>
      <w:r>
        <w:rPr>
          <w:b/>
          <w:bCs/>
          <w:lang w:val="pl-PL"/>
        </w:rPr>
        <w:t>O firmie Vertiv</w:t>
      </w:r>
    </w:p>
    <w:p>
      <w:pPr>
        <w:pStyle w:val="Normal"/>
        <w:spacing w:lineRule="auto" w:line="257"/>
        <w:jc w:val="both"/>
        <w:rPr>
          <w:rFonts w:eastAsia="Arial" w:cs="Arial"/>
          <w:color w:themeColor="text1" w:val="000000"/>
          <w:sz w:val="21"/>
          <w:szCs w:val="21"/>
          <w:lang w:val="pl-PL"/>
        </w:rPr>
      </w:pPr>
      <w:r>
        <w:rPr>
          <w:rFonts w:eastAsia="Arial" w:cs="Arial"/>
          <w:color w:themeColor="text1" w:val="000000"/>
          <w:sz w:val="20"/>
          <w:szCs w:val="20"/>
          <w:lang w:val="pl-PL"/>
        </w:rPr>
        <w:t>Vertiv (NYSE: VRT) oferuje rozwiązania z zakresu infrastruktury IT, oprogramowania, analityki, a także szereg usług, które zapewniają nieprzerwane i optymalne działanie kluczowych systemów swoich klientów oraz ich rozwój, wraz ze wzrostem biznesu. Vertiv rozwiązuje najważniejsze wyzwania stojące przed administratorami centrów danych, sieci komunikacyjnych oraz obiektów komercyjnych i przemysłowych, za pomocą oferowanych systemów z zakresu zasilania, chłodzenia, infrastruktury informatycznej oraz usług wspierających środowiska chmurowe i brzegowe. Siedziba główna firmy Vertiv znajduje się w Westerville (Ohio, USA). Firma prowadzi działalność w ponad 130 krajach. Dodatkowe informacje oraz nowości i materiały dotyczące Vertiv dostępne są stronie Vertiv.com</w:t>
      </w:r>
      <w:r>
        <w:rPr>
          <w:rFonts w:eastAsia="Arial" w:cs="Arial"/>
          <w:color w:themeColor="text1" w:val="000000"/>
          <w:sz w:val="21"/>
          <w:szCs w:val="21"/>
          <w:lang w:val="pl-PL"/>
        </w:rPr>
        <w:t>. </w:t>
      </w:r>
    </w:p>
    <w:p>
      <w:pPr>
        <w:pStyle w:val="Normal"/>
        <w:rPr>
          <w:lang w:val="pl-PL"/>
        </w:rPr>
      </w:pPr>
      <w:r>
        <w:rPr>
          <w:lang w:val="pl-PL"/>
        </w:rPr>
      </w:r>
    </w:p>
    <w:p>
      <w:pPr>
        <w:pStyle w:val="Normal"/>
        <w:ind w:end="-108"/>
        <w:rPr>
          <w:rFonts w:eastAsia="Arial" w:cs="Arial"/>
          <w:b/>
          <w:bCs/>
          <w:color w:themeColor="text1" w:val="000000"/>
          <w:sz w:val="20"/>
          <w:szCs w:val="20"/>
        </w:rPr>
      </w:pPr>
      <w:r>
        <w:rPr>
          <w:rFonts w:eastAsia="Arial" w:cs="Arial"/>
          <w:b/>
          <w:bCs/>
          <w:color w:themeColor="text1" w:val="000000"/>
          <w:sz w:val="20"/>
          <w:szCs w:val="20"/>
        </w:rPr>
        <w:t>Oświadczenia dotyczące przyszłości</w:t>
      </w:r>
    </w:p>
    <w:p>
      <w:pPr>
        <w:pStyle w:val="Normal"/>
        <w:spacing w:before="0" w:after="160"/>
        <w:ind w:end="-108"/>
        <w:jc w:val="both"/>
        <w:rPr>
          <w:rFonts w:eastAsia="Arial" w:cs="Arial"/>
          <w:color w:themeColor="text1" w:val="000000"/>
          <w:sz w:val="20"/>
          <w:szCs w:val="20"/>
          <w:lang w:val="pl-PL"/>
        </w:rPr>
      </w:pPr>
      <w:r>
        <w:rPr>
          <w:rFonts w:eastAsia="Arial" w:cs="Arial"/>
          <w:color w:themeColor="text1" w:val="000000"/>
          <w:sz w:val="20"/>
          <w:szCs w:val="20"/>
          <w:lang w:val="pl-PL"/>
        </w:rPr>
        <w:t xml:space="preserve">Niniejsza informacja zawiera stwierdzenia dotyczące przyszłości w rozumieniu ustawy Private Securities Litigation Reform Act z 1995 r., sekcji 27 ustawy Securities Act oraz sekcji 21E ustawy Securities Exchange Act. Stwierdzenia te mają jedynie charakter przewidywań. Rzeczywiste wydarzenia lub wyniki mogą się znacznie różnić od tych przedstawionych w stwierdzeniach dotyczących przyszłości. Aby zapoznać się z tymi i innymi ważnymi czynnikami ryzyka dotyczącymi firmy Vertiv i jej działalności, należy zapoznać się z dokumentacją firmy Vertiv złożoną w Komisji Papierów Wartościowych i Giełd, w tym z jej najnowszym Raportem Rocznym na Formularzu 10-K i kolejnymi Raportami Kwartalnymi na Formularzu 10-Q. Firma Vertiv nie jest zobowiązana i wyraźnie zrzeka się wszelkich zobowiązań do aktualizacji lub zmiany oświadczeń dotyczących przyszłości, czy to w wyniku pojawienia się nowych informacji, przyszłych wydarzeń, czy też w inny sposób.  </w:t>
      </w:r>
    </w:p>
    <w:sectPr>
      <w:headerReference w:type="even" r:id="rId6"/>
      <w:headerReference w:type="default" r:id="rId7"/>
      <w:headerReference w:type="first" r:id="rId8"/>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swiss"/>
    <w:pitch w:val="variable"/>
  </w:font>
  <w:font w:name="Aptos Display">
    <w:charset w:val="ee" w:characterSet="windows-1250"/>
    <w:family w:val="swiss"/>
    <w:pitch w:val="variable"/>
  </w:font>
  <w:font w:name="Aptos">
    <w:charset w:val="ee" w:characterSet="windows-1250"/>
    <w:family w:val="swiss"/>
    <w:pitch w:val="variable"/>
  </w:font>
  <w:font w:name="Liberation Sans">
    <w:altName w:val="Arial"/>
    <w:charset w:val="ee" w:characterSet="windows-1250"/>
    <w:family w:val="swiss"/>
    <w:pitch w:val="variable"/>
  </w:font>
  <w:font w:name="Times New Roman">
    <w:charset w:val="ee" w:characterSet="windows-125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480"/>
      <w:rPr/>
    </w:pPr>
    <w:r>
      <w:rPr/>
      <mc:AlternateContent>
        <mc:Choice Requires="wps">
          <w:drawing>
            <wp:anchor behindDoc="1" distT="0" distB="0" distL="0" distR="3810" simplePos="0" locked="0" layoutInCell="0" allowOverlap="1" relativeHeight="3" wp14:anchorId="1E59AC07">
              <wp:simplePos x="0" y="0"/>
              <wp:positionH relativeFrom="margin">
                <wp:posOffset>9525</wp:posOffset>
              </wp:positionH>
              <wp:positionV relativeFrom="page">
                <wp:posOffset>343535</wp:posOffset>
              </wp:positionV>
              <wp:extent cx="1329690" cy="330835"/>
              <wp:effectExtent l="0" t="635" r="635" b="0"/>
              <wp:wrapNone/>
              <wp:docPr id="1" name="Freeform 6"/>
              <a:graphic xmlns:a="http://schemas.openxmlformats.org/drawingml/2006/main">
                <a:graphicData uri="http://schemas.microsoft.com/office/word/2010/wordprocessingShape">
                  <wps:wsp>
                    <wps:cNvSpPr/>
                    <wps:spPr>
                      <a:xfrm>
                        <a:off x="0" y="0"/>
                        <a:ext cx="1329840" cy="330840"/>
                      </a:xfrm>
                      <a:custGeom>
                        <a:avLst/>
                        <a:gdLst>
                          <a:gd name="textAreaLeft" fmla="*/ 0 w 753840"/>
                          <a:gd name="textAreaRight" fmla="*/ 754200 w 753840"/>
                          <a:gd name="textAreaTop" fmla="*/ 0 h 187560"/>
                          <a:gd name="textAreaBottom" fmla="*/ 187920 h 187560"/>
                          <a:gd name="GluePoint1X" fmla="*/ ?0  w 2094"/>
                          <a:gd name="GluePoint1Y" fmla="*/ 404 h 521"/>
                          <a:gd name="GluePoint2X" fmla="*/ ?4  w 2094"/>
                          <a:gd name="GluePoint2Y" fmla="*/ 377 h 521"/>
                          <a:gd name="GluePoint3X" fmla="*/ ?8  w 2094"/>
                          <a:gd name="GluePoint3Y" fmla="*/ 377 h 521"/>
                          <a:gd name="GluePoint4X" fmla="*/ ?12  w 2094"/>
                          <a:gd name="GluePoint4Y" fmla="*/ 395 h 521"/>
                          <a:gd name="GluePoint5X" fmla="*/ ?16  w 2094"/>
                          <a:gd name="GluePoint5Y" fmla="*/ 377 h 521"/>
                          <a:gd name="GluePoint6X" fmla="*/ ?20  w 2094"/>
                          <a:gd name="GluePoint6Y" fmla="*/ 404 h 521"/>
                          <a:gd name="GluePoint7X" fmla="*/ ?24  w 2094"/>
                          <a:gd name="GluePoint7Y" fmla="*/ 366 h 521"/>
                          <a:gd name="GluePoint8X" fmla="*/ ?28  w 2094"/>
                          <a:gd name="GluePoint8Y" fmla="*/ 377 h 521"/>
                          <a:gd name="GluePoint9X" fmla="*/ ?32  w 2094"/>
                          <a:gd name="GluePoint9Y" fmla="*/ 157 h 521"/>
                          <a:gd name="GluePoint10X" fmla="*/ ?36  w 2094"/>
                          <a:gd name="GluePoint10Y" fmla="*/ 404 h 521"/>
                          <a:gd name="GluePoint11X" fmla="*/ ?40  w 2094"/>
                          <a:gd name="GluePoint11Y" fmla="*/ 157 h 521"/>
                          <a:gd name="GluePoint12X" fmla="*/ ?44  w 2094"/>
                          <a:gd name="GluePoint12Y" fmla="*/ 404 h 521"/>
                          <a:gd name="GluePoint13X" fmla="*/ ?48  w 2094"/>
                          <a:gd name="GluePoint13Y" fmla="*/ 366 h 521"/>
                          <a:gd name="GluePoint14X" fmla="*/ ?52  w 2094"/>
                          <a:gd name="GluePoint14Y" fmla="*/ 372 h 521"/>
                          <a:gd name="GluePoint15X" fmla="*/ ?56  w 2094"/>
                          <a:gd name="GluePoint15Y" fmla="*/ 157 h 521"/>
                          <a:gd name="GluePoint16X" fmla="*/ ?60  w 2094"/>
                          <a:gd name="GluePoint16Y" fmla="*/ 157 h 521"/>
                          <a:gd name="GluePoint17X" fmla="*/ ?64  w 2094"/>
                          <a:gd name="GluePoint17Y" fmla="*/ 404 h 521"/>
                          <a:gd name="GluePoint18X" fmla="*/ ?68  w 2094"/>
                          <a:gd name="GluePoint18Y" fmla="*/ 210 h 521"/>
                          <a:gd name="GluePoint19X" fmla="*/ ?72  w 2094"/>
                          <a:gd name="GluePoint19Y" fmla="*/ 404 h 521"/>
                          <a:gd name="GluePoint20X" fmla="*/ ?76  w 2094"/>
                          <a:gd name="GluePoint20Y" fmla="*/ 157 h 521"/>
                          <a:gd name="GluePoint21X" fmla="*/ ?80  w 2094"/>
                          <a:gd name="GluePoint21Y" fmla="*/ 157 h 521"/>
                          <a:gd name="GluePoint22X" fmla="*/ ?84  w 2094"/>
                          <a:gd name="GluePoint22Y" fmla="*/ 404 h 521"/>
                          <a:gd name="GluePoint23X" fmla="*/ ?88  w 2094"/>
                          <a:gd name="GluePoint23Y" fmla="*/ 325 h 521"/>
                          <a:gd name="GluePoint24X" fmla="*/ ?92  w 2094"/>
                          <a:gd name="GluePoint24Y" fmla="*/ 288 h 521"/>
                          <a:gd name="GluePoint25X" fmla="*/ ?96  w 2094"/>
                          <a:gd name="GluePoint25Y" fmla="*/ 210 h 521"/>
                          <a:gd name="GluePoint26X" fmla="*/ ?100  w 2094"/>
                          <a:gd name="GluePoint26Y" fmla="*/ 182 h 521"/>
                          <a:gd name="GluePoint27X" fmla="*/ ?104  w 2094"/>
                          <a:gd name="GluePoint27Y" fmla="*/ 325 h 521"/>
                          <a:gd name="GluePoint28X" fmla="*/ ?108  w 2094"/>
                          <a:gd name="GluePoint28Y" fmla="*/ 404 h 521"/>
                          <a:gd name="GluePoint29X" fmla="*/ ?112  w 2094"/>
                          <a:gd name="GluePoint29Y" fmla="*/ 210 h 521"/>
                          <a:gd name="GluePoint30X" fmla="*/ ?116  w 2094"/>
                          <a:gd name="GluePoint30Y" fmla="*/ 230 h 521"/>
                          <a:gd name="GluePoint31X" fmla="*/ ?120  w 2094"/>
                          <a:gd name="GluePoint31Y" fmla="*/ 266 h 521"/>
                          <a:gd name="GluePoint32X" fmla="*/ ?124  w 2094"/>
                          <a:gd name="GluePoint32Y" fmla="*/ 275 h 521"/>
                          <a:gd name="GluePoint33X" fmla="*/ ?128  w 2094"/>
                          <a:gd name="GluePoint33Y" fmla="*/ 210 h 521"/>
                          <a:gd name="GluePoint34X" fmla="*/ ?132  w 2094"/>
                          <a:gd name="GluePoint34Y" fmla="*/ 404 h 521"/>
                          <a:gd name="GluePoint35X" fmla="*/ ?136  w 2094"/>
                          <a:gd name="GluePoint35Y" fmla="*/ 352 h 521"/>
                          <a:gd name="GluePoint36X" fmla="*/ ?140  w 2094"/>
                          <a:gd name="GluePoint36Y" fmla="*/ 254 h 521"/>
                          <a:gd name="GluePoint37X" fmla="*/ ?144  w 2094"/>
                          <a:gd name="GluePoint37Y" fmla="*/ 210 h 521"/>
                          <a:gd name="GluePoint38X" fmla="*/ ?148  w 2094"/>
                          <a:gd name="GluePoint38Y" fmla="*/ 157 h 521"/>
                          <a:gd name="GluePoint39X" fmla="*/ ?152  w 2094"/>
                          <a:gd name="GluePoint39Y" fmla="*/ 323 h 521"/>
                          <a:gd name="GluePoint40X" fmla="*/ ?156  w 2094"/>
                          <a:gd name="GluePoint40Y" fmla="*/ 157 h 521"/>
                          <a:gd name="GluePoint41X" fmla="*/ ?160  w 2094"/>
                          <a:gd name="GluePoint41Y" fmla="*/ 323 h 521"/>
                          <a:gd name="GluePoint42X" fmla="*/ ?164  w 2094"/>
                          <a:gd name="GluePoint42Y" fmla="*/ 186 h 521"/>
                          <a:gd name="GluePoint43X" fmla="*/ ?168  w 2094"/>
                          <a:gd name="GluePoint43Y" fmla="*/ 281 h 521"/>
                          <a:gd name="GluePoint44X" fmla="*/ ?172  w 2094"/>
                          <a:gd name="GluePoint44Y" fmla="*/ 484 h 521"/>
                          <a:gd name="GluePoint45X" fmla="*/ ?176  w 2094"/>
                          <a:gd name="GluePoint45Y" fmla="*/ 157 h 521"/>
                          <a:gd name="GluePoint46X" fmla="*/ ?180  w 2094"/>
                          <a:gd name="GluePoint46Y" fmla="*/ 526 h 521"/>
                          <a:gd name="GluePoint47X" fmla="*/ ?184  w 2094"/>
                          <a:gd name="GluePoint47Y" fmla="*/ 358 h 521"/>
                          <a:gd name="GluePoint48X" fmla="*/ ?188  w 2094"/>
                          <a:gd name="GluePoint48Y" fmla="*/ 216 h 521"/>
                          <a:gd name="GluePoint49X" fmla="*/ ?192  w 2094"/>
                          <a:gd name="GluePoint49Y" fmla="*/ 157 h 521"/>
                          <a:gd name="GluePoint50X" fmla="*/ ?196  w 2094"/>
                          <a:gd name="GluePoint50Y" fmla="*/ 157 h 521"/>
                          <a:gd name="GluePoint51X" fmla="*/ ?200  w 2094"/>
                          <a:gd name="GluePoint51Y" fmla="*/ 48 h 521"/>
                          <a:gd name="GluePoint52X" fmla="*/ ?204  w 2094"/>
                          <a:gd name="GluePoint52Y" fmla="*/ 157 h 521"/>
                          <a:gd name="GluePoint53X" fmla="*/ ?208  w 2094"/>
                          <a:gd name="GluePoint53Y" fmla="*/ 17 h 521"/>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Lst>
                        <a:rect l="textAreaLeft" t="textAreaTop" r="textAreaRight" b="textAreaBottom"/>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480"/>
      <w:rPr/>
    </w:pPr>
    <w:r>
      <w:rPr/>
      <w:drawing>
        <wp:anchor behindDoc="1" distT="0" distB="0" distL="0" distR="0" simplePos="0" locked="0" layoutInCell="1" allowOverlap="1" relativeHeight="4">
          <wp:simplePos x="0" y="0"/>
          <wp:positionH relativeFrom="column">
            <wp:posOffset>4389755</wp:posOffset>
          </wp:positionH>
          <wp:positionV relativeFrom="paragraph">
            <wp:posOffset>-247650</wp:posOffset>
          </wp:positionV>
          <wp:extent cx="2932430" cy="917575"/>
          <wp:effectExtent l="0" t="0" r="0" b="0"/>
          <wp:wrapNone/>
          <wp:docPr id="2" name="Imagen 2" descr="A black and orange letter 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A black and orange letter w&#10;&#10;AI-generated content may be incorrect."/>
                  <pic:cNvPicPr>
                    <a:picLocks noChangeAspect="1" noChangeArrowheads="1"/>
                  </pic:cNvPicPr>
                </pic:nvPicPr>
                <pic:blipFill>
                  <a:blip r:embed="rId1"/>
                  <a:stretch>
                    <a:fillRect/>
                  </a:stretch>
                </pic:blipFill>
                <pic:spPr bwMode="auto">
                  <a:xfrm>
                    <a:off x="0" y="0"/>
                    <a:ext cx="2932430" cy="917575"/>
                  </a:xfrm>
                  <a:prstGeom prst="rect">
                    <a:avLst/>
                  </a:prstGeom>
                  <a:noFill/>
                </pic:spPr>
              </pic:pic>
            </a:graphicData>
          </a:graphic>
        </wp:anchor>
      </w:drawing>
      <mc:AlternateContent>
        <mc:Choice Requires="wps">
          <w:drawing>
            <wp:anchor behindDoc="1" distT="0" distB="0" distL="0" distR="3810" simplePos="0" locked="0" layoutInCell="0" allowOverlap="1" relativeHeight="5" wp14:anchorId="31196986">
              <wp:simplePos x="0" y="0"/>
              <wp:positionH relativeFrom="margin">
                <wp:posOffset>9525</wp:posOffset>
              </wp:positionH>
              <wp:positionV relativeFrom="page">
                <wp:posOffset>343535</wp:posOffset>
              </wp:positionV>
              <wp:extent cx="1329690" cy="330835"/>
              <wp:effectExtent l="0" t="635" r="635" b="0"/>
              <wp:wrapNone/>
              <wp:docPr id="3" name="Freeform 6"/>
              <a:graphic xmlns:a="http://schemas.openxmlformats.org/drawingml/2006/main">
                <a:graphicData uri="http://schemas.microsoft.com/office/word/2010/wordprocessingShape">
                  <wps:wsp>
                    <wps:cNvSpPr/>
                    <wps:spPr>
                      <a:xfrm>
                        <a:off x="0" y="0"/>
                        <a:ext cx="1329840" cy="330840"/>
                      </a:xfrm>
                      <a:custGeom>
                        <a:avLst/>
                        <a:gdLst>
                          <a:gd name="textAreaLeft" fmla="*/ 0 w 753840"/>
                          <a:gd name="textAreaRight" fmla="*/ 754200 w 753840"/>
                          <a:gd name="textAreaTop" fmla="*/ 0 h 187560"/>
                          <a:gd name="textAreaBottom" fmla="*/ 187920 h 187560"/>
                          <a:gd name="GluePoint1X" fmla="*/ ?0  w 2094"/>
                          <a:gd name="GluePoint1Y" fmla="*/ 404 h 521"/>
                          <a:gd name="GluePoint2X" fmla="*/ ?4  w 2094"/>
                          <a:gd name="GluePoint2Y" fmla="*/ 377 h 521"/>
                          <a:gd name="GluePoint3X" fmla="*/ ?8  w 2094"/>
                          <a:gd name="GluePoint3Y" fmla="*/ 377 h 521"/>
                          <a:gd name="GluePoint4X" fmla="*/ ?12  w 2094"/>
                          <a:gd name="GluePoint4Y" fmla="*/ 395 h 521"/>
                          <a:gd name="GluePoint5X" fmla="*/ ?16  w 2094"/>
                          <a:gd name="GluePoint5Y" fmla="*/ 377 h 521"/>
                          <a:gd name="GluePoint6X" fmla="*/ ?20  w 2094"/>
                          <a:gd name="GluePoint6Y" fmla="*/ 404 h 521"/>
                          <a:gd name="GluePoint7X" fmla="*/ ?24  w 2094"/>
                          <a:gd name="GluePoint7Y" fmla="*/ 366 h 521"/>
                          <a:gd name="GluePoint8X" fmla="*/ ?28  w 2094"/>
                          <a:gd name="GluePoint8Y" fmla="*/ 377 h 521"/>
                          <a:gd name="GluePoint9X" fmla="*/ ?32  w 2094"/>
                          <a:gd name="GluePoint9Y" fmla="*/ 157 h 521"/>
                          <a:gd name="GluePoint10X" fmla="*/ ?36  w 2094"/>
                          <a:gd name="GluePoint10Y" fmla="*/ 404 h 521"/>
                          <a:gd name="GluePoint11X" fmla="*/ ?40  w 2094"/>
                          <a:gd name="GluePoint11Y" fmla="*/ 157 h 521"/>
                          <a:gd name="GluePoint12X" fmla="*/ ?44  w 2094"/>
                          <a:gd name="GluePoint12Y" fmla="*/ 404 h 521"/>
                          <a:gd name="GluePoint13X" fmla="*/ ?48  w 2094"/>
                          <a:gd name="GluePoint13Y" fmla="*/ 366 h 521"/>
                          <a:gd name="GluePoint14X" fmla="*/ ?52  w 2094"/>
                          <a:gd name="GluePoint14Y" fmla="*/ 372 h 521"/>
                          <a:gd name="GluePoint15X" fmla="*/ ?56  w 2094"/>
                          <a:gd name="GluePoint15Y" fmla="*/ 157 h 521"/>
                          <a:gd name="GluePoint16X" fmla="*/ ?60  w 2094"/>
                          <a:gd name="GluePoint16Y" fmla="*/ 157 h 521"/>
                          <a:gd name="GluePoint17X" fmla="*/ ?64  w 2094"/>
                          <a:gd name="GluePoint17Y" fmla="*/ 404 h 521"/>
                          <a:gd name="GluePoint18X" fmla="*/ ?68  w 2094"/>
                          <a:gd name="GluePoint18Y" fmla="*/ 210 h 521"/>
                          <a:gd name="GluePoint19X" fmla="*/ ?72  w 2094"/>
                          <a:gd name="GluePoint19Y" fmla="*/ 404 h 521"/>
                          <a:gd name="GluePoint20X" fmla="*/ ?76  w 2094"/>
                          <a:gd name="GluePoint20Y" fmla="*/ 157 h 521"/>
                          <a:gd name="GluePoint21X" fmla="*/ ?80  w 2094"/>
                          <a:gd name="GluePoint21Y" fmla="*/ 157 h 521"/>
                          <a:gd name="GluePoint22X" fmla="*/ ?84  w 2094"/>
                          <a:gd name="GluePoint22Y" fmla="*/ 404 h 521"/>
                          <a:gd name="GluePoint23X" fmla="*/ ?88  w 2094"/>
                          <a:gd name="GluePoint23Y" fmla="*/ 325 h 521"/>
                          <a:gd name="GluePoint24X" fmla="*/ ?92  w 2094"/>
                          <a:gd name="GluePoint24Y" fmla="*/ 288 h 521"/>
                          <a:gd name="GluePoint25X" fmla="*/ ?96  w 2094"/>
                          <a:gd name="GluePoint25Y" fmla="*/ 210 h 521"/>
                          <a:gd name="GluePoint26X" fmla="*/ ?100  w 2094"/>
                          <a:gd name="GluePoint26Y" fmla="*/ 182 h 521"/>
                          <a:gd name="GluePoint27X" fmla="*/ ?104  w 2094"/>
                          <a:gd name="GluePoint27Y" fmla="*/ 325 h 521"/>
                          <a:gd name="GluePoint28X" fmla="*/ ?108  w 2094"/>
                          <a:gd name="GluePoint28Y" fmla="*/ 404 h 521"/>
                          <a:gd name="GluePoint29X" fmla="*/ ?112  w 2094"/>
                          <a:gd name="GluePoint29Y" fmla="*/ 210 h 521"/>
                          <a:gd name="GluePoint30X" fmla="*/ ?116  w 2094"/>
                          <a:gd name="GluePoint30Y" fmla="*/ 230 h 521"/>
                          <a:gd name="GluePoint31X" fmla="*/ ?120  w 2094"/>
                          <a:gd name="GluePoint31Y" fmla="*/ 266 h 521"/>
                          <a:gd name="GluePoint32X" fmla="*/ ?124  w 2094"/>
                          <a:gd name="GluePoint32Y" fmla="*/ 275 h 521"/>
                          <a:gd name="GluePoint33X" fmla="*/ ?128  w 2094"/>
                          <a:gd name="GluePoint33Y" fmla="*/ 210 h 521"/>
                          <a:gd name="GluePoint34X" fmla="*/ ?132  w 2094"/>
                          <a:gd name="GluePoint34Y" fmla="*/ 404 h 521"/>
                          <a:gd name="GluePoint35X" fmla="*/ ?136  w 2094"/>
                          <a:gd name="GluePoint35Y" fmla="*/ 352 h 521"/>
                          <a:gd name="GluePoint36X" fmla="*/ ?140  w 2094"/>
                          <a:gd name="GluePoint36Y" fmla="*/ 254 h 521"/>
                          <a:gd name="GluePoint37X" fmla="*/ ?144  w 2094"/>
                          <a:gd name="GluePoint37Y" fmla="*/ 210 h 521"/>
                          <a:gd name="GluePoint38X" fmla="*/ ?148  w 2094"/>
                          <a:gd name="GluePoint38Y" fmla="*/ 157 h 521"/>
                          <a:gd name="GluePoint39X" fmla="*/ ?152  w 2094"/>
                          <a:gd name="GluePoint39Y" fmla="*/ 323 h 521"/>
                          <a:gd name="GluePoint40X" fmla="*/ ?156  w 2094"/>
                          <a:gd name="GluePoint40Y" fmla="*/ 157 h 521"/>
                          <a:gd name="GluePoint41X" fmla="*/ ?160  w 2094"/>
                          <a:gd name="GluePoint41Y" fmla="*/ 323 h 521"/>
                          <a:gd name="GluePoint42X" fmla="*/ ?164  w 2094"/>
                          <a:gd name="GluePoint42Y" fmla="*/ 186 h 521"/>
                          <a:gd name="GluePoint43X" fmla="*/ ?168  w 2094"/>
                          <a:gd name="GluePoint43Y" fmla="*/ 281 h 521"/>
                          <a:gd name="GluePoint44X" fmla="*/ ?172  w 2094"/>
                          <a:gd name="GluePoint44Y" fmla="*/ 484 h 521"/>
                          <a:gd name="GluePoint45X" fmla="*/ ?176  w 2094"/>
                          <a:gd name="GluePoint45Y" fmla="*/ 157 h 521"/>
                          <a:gd name="GluePoint46X" fmla="*/ ?180  w 2094"/>
                          <a:gd name="GluePoint46Y" fmla="*/ 526 h 521"/>
                          <a:gd name="GluePoint47X" fmla="*/ ?184  w 2094"/>
                          <a:gd name="GluePoint47Y" fmla="*/ 358 h 521"/>
                          <a:gd name="GluePoint48X" fmla="*/ ?188  w 2094"/>
                          <a:gd name="GluePoint48Y" fmla="*/ 216 h 521"/>
                          <a:gd name="GluePoint49X" fmla="*/ ?192  w 2094"/>
                          <a:gd name="GluePoint49Y" fmla="*/ 157 h 521"/>
                          <a:gd name="GluePoint50X" fmla="*/ ?196  w 2094"/>
                          <a:gd name="GluePoint50Y" fmla="*/ 157 h 521"/>
                          <a:gd name="GluePoint51X" fmla="*/ ?200  w 2094"/>
                          <a:gd name="GluePoint51Y" fmla="*/ 48 h 521"/>
                          <a:gd name="GluePoint52X" fmla="*/ ?204  w 2094"/>
                          <a:gd name="GluePoint52Y" fmla="*/ 157 h 521"/>
                          <a:gd name="GluePoint53X" fmla="*/ ?208  w 2094"/>
                          <a:gd name="GluePoint53Y" fmla="*/ 17 h 521"/>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Lst>
                        <a:rect l="textAreaLeft" t="textAreaTop" r="textAreaRight" b="textAreaBottom"/>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00" w:leader="none"/>
      </w:tabs>
      <w:rPr>
        <w:b/>
        <w:bCs/>
        <w:color w:themeColor="text1" w:val="000000"/>
        <w:sz w:val="52"/>
        <w:szCs w:val="52"/>
      </w:rPr>
    </w:pPr>
    <w:r>
      <w:rPr>
        <w:b/>
        <w:bCs/>
        <w:color w:themeColor="text1" w:val="000000"/>
        <w:sz w:val="52"/>
        <w:szCs w:val="52"/>
      </w:rPr>
      <w:t>News release</w:t>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ptos" w:cs="Arial" w:cstheme="minorBidi" w:eastAsia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rial" w:hAnsi="Arial" w:eastAsia="Aptos" w:cs="Arial" w:cstheme="minorBidi" w:eastAsiaTheme="minorHAnsi"/>
      <w:color w:val="auto"/>
      <w:kern w:val="2"/>
      <w:sz w:val="22"/>
      <w:szCs w:val="22"/>
      <w:lang w:val="en-US" w:eastAsia="en-US" w:bidi="ar-SA"/>
      <w14:ligatures w14:val="standardContextual"/>
    </w:rPr>
  </w:style>
  <w:style w:type="paragraph" w:styleId="Heading1">
    <w:name w:val="heading 1"/>
    <w:basedOn w:val="Normal"/>
    <w:next w:val="Normal"/>
    <w:link w:val="Nagwek1Znak"/>
    <w:uiPriority w:val="9"/>
    <w:qFormat/>
    <w:rsid w:val="0002431b"/>
    <w:pPr>
      <w:keepNext w:val="true"/>
      <w:keepLines/>
      <w:spacing w:before="360" w:after="80"/>
      <w:outlineLvl w:val="0"/>
    </w:pPr>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02431b"/>
    <w:pPr>
      <w:keepNext w:val="true"/>
      <w:keepLines/>
      <w:spacing w:before="160" w:after="80"/>
      <w:outlineLvl w:val="1"/>
    </w:pPr>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02431b"/>
    <w:pPr>
      <w:keepNext w:val="true"/>
      <w:keepLines/>
      <w:spacing w:before="160" w:after="80"/>
      <w:outlineLvl w:val="2"/>
    </w:pPr>
    <w:rPr>
      <w:rFonts w:ascii="Aptos" w:hAnsi="Aptos" w:eastAsia="游ゴシック Light" w:cs="Times New Roman"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Nagwek4Znak"/>
    <w:uiPriority w:val="9"/>
    <w:semiHidden/>
    <w:unhideWhenUsed/>
    <w:qFormat/>
    <w:rsid w:val="0002431b"/>
    <w:pPr>
      <w:keepNext w:val="true"/>
      <w:keepLines/>
      <w:spacing w:before="80" w:after="40"/>
      <w:outlineLvl w:val="3"/>
    </w:pPr>
    <w:rPr>
      <w:rFonts w:ascii="Aptos" w:hAnsi="Aptos" w:eastAsia="游ゴシック Light" w:cs="Times New Roman" w:asciiTheme="minorHAnsi" w:cstheme="majorBidi" w:eastAsiaTheme="majorEastAsia" w:hAnsiTheme="minorHAnsi"/>
      <w:i/>
      <w:iCs/>
      <w:color w:themeColor="accent1" w:themeShade="bf" w:val="0F4761"/>
    </w:rPr>
  </w:style>
  <w:style w:type="paragraph" w:styleId="Heading5">
    <w:name w:val="heading 5"/>
    <w:basedOn w:val="Normal"/>
    <w:next w:val="Normal"/>
    <w:link w:val="Nagwek5Znak"/>
    <w:uiPriority w:val="9"/>
    <w:semiHidden/>
    <w:unhideWhenUsed/>
    <w:qFormat/>
    <w:rsid w:val="0002431b"/>
    <w:pPr>
      <w:keepNext w:val="true"/>
      <w:keepLines/>
      <w:spacing w:before="80" w:after="40"/>
      <w:outlineLvl w:val="4"/>
    </w:pPr>
    <w:rPr>
      <w:rFonts w:ascii="Aptos" w:hAnsi="Aptos" w:eastAsia="游ゴシック Light" w:cs="Times New Roman" w:asciiTheme="minorHAnsi" w:cstheme="majorBidi" w:eastAsiaTheme="majorEastAsia" w:hAnsiTheme="minorHAnsi"/>
      <w:color w:themeColor="accent1" w:themeShade="bf" w:val="0F4761"/>
    </w:rPr>
  </w:style>
  <w:style w:type="paragraph" w:styleId="Heading6">
    <w:name w:val="heading 6"/>
    <w:basedOn w:val="Normal"/>
    <w:next w:val="Normal"/>
    <w:link w:val="Nagwek6Znak"/>
    <w:uiPriority w:val="9"/>
    <w:semiHidden/>
    <w:unhideWhenUsed/>
    <w:qFormat/>
    <w:rsid w:val="0002431b"/>
    <w:pPr>
      <w:keepNext w:val="true"/>
      <w:keepLines/>
      <w:spacing w:before="40" w:after="0"/>
      <w:outlineLvl w:val="5"/>
    </w:pPr>
    <w:rPr>
      <w:rFonts w:ascii="Aptos" w:hAnsi="Aptos" w:eastAsia="游ゴシック Light" w:cs="Times New Roman" w:asciiTheme="minorHAnsi" w:cstheme="majorBidi" w:eastAsiaTheme="majorEastAsia" w:hAnsiTheme="minorHAnsi"/>
      <w:i/>
      <w:iCs/>
      <w:color w:themeColor="text1" w:themeTint="a6" w:val="595959"/>
    </w:rPr>
  </w:style>
  <w:style w:type="paragraph" w:styleId="Heading7">
    <w:name w:val="heading 7"/>
    <w:basedOn w:val="Normal"/>
    <w:next w:val="Normal"/>
    <w:link w:val="Nagwek7Znak"/>
    <w:uiPriority w:val="9"/>
    <w:semiHidden/>
    <w:unhideWhenUsed/>
    <w:qFormat/>
    <w:rsid w:val="0002431b"/>
    <w:pPr>
      <w:keepNext w:val="true"/>
      <w:keepLines/>
      <w:spacing w:before="40" w:after="0"/>
      <w:outlineLvl w:val="6"/>
    </w:pPr>
    <w:rPr>
      <w:rFonts w:ascii="Aptos" w:hAnsi="Aptos" w:eastAsia="游ゴシック Light" w:cs="Times New Roman" w:asciiTheme="minorHAnsi" w:cstheme="majorBidi" w:eastAsiaTheme="majorEastAsia" w:hAnsiTheme="minorHAnsi"/>
      <w:color w:themeColor="text1" w:themeTint="a6" w:val="595959"/>
    </w:rPr>
  </w:style>
  <w:style w:type="paragraph" w:styleId="Heading8">
    <w:name w:val="heading 8"/>
    <w:basedOn w:val="Normal"/>
    <w:next w:val="Normal"/>
    <w:link w:val="Nagwek8Znak"/>
    <w:uiPriority w:val="9"/>
    <w:semiHidden/>
    <w:unhideWhenUsed/>
    <w:qFormat/>
    <w:rsid w:val="0002431b"/>
    <w:pPr>
      <w:keepNext w:val="true"/>
      <w:keepLines/>
      <w:spacing w:before="0" w:after="0"/>
      <w:outlineLvl w:val="7"/>
    </w:pPr>
    <w:rPr>
      <w:rFonts w:ascii="Aptos" w:hAnsi="Aptos" w:eastAsia="游ゴシック Light" w:cs="Times New Roman" w:asciiTheme="minorHAnsi" w:cstheme="majorBidi" w:eastAsiaTheme="majorEastAsia" w:hAnsiTheme="minorHAnsi"/>
      <w:i/>
      <w:iCs/>
      <w:color w:themeColor="text1" w:themeTint="d8" w:val="272727"/>
    </w:rPr>
  </w:style>
  <w:style w:type="paragraph" w:styleId="Heading9">
    <w:name w:val="heading 9"/>
    <w:basedOn w:val="Normal"/>
    <w:next w:val="Normal"/>
    <w:link w:val="Nagwek9Znak"/>
    <w:uiPriority w:val="9"/>
    <w:semiHidden/>
    <w:unhideWhenUsed/>
    <w:qFormat/>
    <w:rsid w:val="0002431b"/>
    <w:pPr>
      <w:keepNext w:val="true"/>
      <w:keepLines/>
      <w:spacing w:before="0" w:after="0"/>
      <w:outlineLvl w:val="8"/>
    </w:pPr>
    <w:rPr>
      <w:rFonts w:ascii="Aptos" w:hAnsi="Aptos" w:eastAsia="游ゴシック Light" w:cs="Times New Roman"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02431b"/>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02431b"/>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02431b"/>
    <w:rPr>
      <w:rFonts w:ascii="Aptos" w:hAnsi="Aptos" w:eastAsia="游ゴシック Light" w:cs="Times New Roman" w:asciiTheme="minorHAnsi" w:cstheme="majorBidi" w:eastAsiaTheme="majorEastAsia" w:hAnsiTheme="minorHAnsi"/>
      <w:color w:themeColor="accent1" w:themeShade="bf" w:val="0F4761"/>
      <w:sz w:val="28"/>
      <w:szCs w:val="28"/>
    </w:rPr>
  </w:style>
  <w:style w:type="character" w:styleId="Nagwek4Znak" w:customStyle="1">
    <w:name w:val="Nagłówek 4 Znak"/>
    <w:basedOn w:val="DefaultParagraphFont"/>
    <w:uiPriority w:val="9"/>
    <w:semiHidden/>
    <w:qFormat/>
    <w:rsid w:val="0002431b"/>
    <w:rPr>
      <w:rFonts w:ascii="Aptos" w:hAnsi="Aptos" w:eastAsia="游ゴシック Light" w:cs="Times New Roman" w:asciiTheme="minorHAnsi" w:cstheme="majorBidi" w:eastAsiaTheme="majorEastAsia" w:hAnsiTheme="minorHAnsi"/>
      <w:i/>
      <w:iCs/>
      <w:color w:themeColor="accent1" w:themeShade="bf" w:val="0F4761"/>
    </w:rPr>
  </w:style>
  <w:style w:type="character" w:styleId="Nagwek5Znak" w:customStyle="1">
    <w:name w:val="Nagłówek 5 Znak"/>
    <w:basedOn w:val="DefaultParagraphFont"/>
    <w:uiPriority w:val="9"/>
    <w:semiHidden/>
    <w:qFormat/>
    <w:rsid w:val="0002431b"/>
    <w:rPr>
      <w:rFonts w:ascii="Aptos" w:hAnsi="Aptos" w:eastAsia="游ゴシック Light" w:cs="Times New Roman" w:asciiTheme="minorHAnsi" w:cstheme="majorBidi" w:eastAsiaTheme="majorEastAsia" w:hAnsiTheme="minorHAnsi"/>
      <w:color w:themeColor="accent1" w:themeShade="bf" w:val="0F4761"/>
    </w:rPr>
  </w:style>
  <w:style w:type="character" w:styleId="Nagwek6Znak" w:customStyle="1">
    <w:name w:val="Nagłówek 6 Znak"/>
    <w:basedOn w:val="DefaultParagraphFont"/>
    <w:uiPriority w:val="9"/>
    <w:semiHidden/>
    <w:qFormat/>
    <w:rsid w:val="0002431b"/>
    <w:rPr>
      <w:rFonts w:ascii="Aptos" w:hAnsi="Aptos" w:eastAsia="游ゴシック Light" w:cs="Times New Roman" w:asciiTheme="minorHAnsi" w:cstheme="majorBidi" w:eastAsiaTheme="majorEastAsia" w:hAnsiTheme="minorHAnsi"/>
      <w:i/>
      <w:iCs/>
      <w:color w:themeColor="text1" w:themeTint="a6" w:val="595959"/>
    </w:rPr>
  </w:style>
  <w:style w:type="character" w:styleId="Nagwek7Znak" w:customStyle="1">
    <w:name w:val="Nagłówek 7 Znak"/>
    <w:basedOn w:val="DefaultParagraphFont"/>
    <w:uiPriority w:val="9"/>
    <w:semiHidden/>
    <w:qFormat/>
    <w:rsid w:val="0002431b"/>
    <w:rPr>
      <w:rFonts w:ascii="Aptos" w:hAnsi="Aptos" w:eastAsia="游ゴシック Light" w:cs="Times New Roman" w:asciiTheme="minorHAnsi" w:cstheme="majorBidi" w:eastAsiaTheme="majorEastAsia" w:hAnsiTheme="minorHAnsi"/>
      <w:color w:themeColor="text1" w:themeTint="a6" w:val="595959"/>
    </w:rPr>
  </w:style>
  <w:style w:type="character" w:styleId="Nagwek8Znak" w:customStyle="1">
    <w:name w:val="Nagłówek 8 Znak"/>
    <w:basedOn w:val="DefaultParagraphFont"/>
    <w:uiPriority w:val="9"/>
    <w:semiHidden/>
    <w:qFormat/>
    <w:rsid w:val="0002431b"/>
    <w:rPr>
      <w:rFonts w:ascii="Aptos" w:hAnsi="Aptos" w:eastAsia="游ゴシック Light" w:cs="Times New Roman" w:asciiTheme="minorHAnsi" w:cstheme="majorBidi" w:eastAsiaTheme="majorEastAsia" w:hAnsiTheme="minorHAnsi"/>
      <w:i/>
      <w:iCs/>
      <w:color w:themeColor="text1" w:themeTint="d8" w:val="272727"/>
    </w:rPr>
  </w:style>
  <w:style w:type="character" w:styleId="Nagwek9Znak" w:customStyle="1">
    <w:name w:val="Nagłówek 9 Znak"/>
    <w:basedOn w:val="DefaultParagraphFont"/>
    <w:uiPriority w:val="9"/>
    <w:semiHidden/>
    <w:qFormat/>
    <w:rsid w:val="0002431b"/>
    <w:rPr>
      <w:rFonts w:ascii="Aptos" w:hAnsi="Aptos" w:eastAsia="游ゴシック Light" w:cs="Times New Roman" w:asciiTheme="minorHAnsi" w:cstheme="majorBidi" w:eastAsiaTheme="majorEastAsia" w:hAnsiTheme="minorHAnsi"/>
      <w:color w:themeColor="text1" w:themeTint="d8" w:val="272727"/>
    </w:rPr>
  </w:style>
  <w:style w:type="character" w:styleId="TytuZnak" w:customStyle="1">
    <w:name w:val="Tytuł Znak"/>
    <w:basedOn w:val="DefaultParagraphFont"/>
    <w:uiPriority w:val="10"/>
    <w:qFormat/>
    <w:rsid w:val="0002431b"/>
    <w:rPr>
      <w:rFonts w:ascii="Aptos Display" w:hAnsi="Aptos Display" w:eastAsia="游ゴシック Light" w:cs="Times New Roman"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02431b"/>
    <w:rPr>
      <w:rFonts w:ascii="Aptos" w:hAnsi="Aptos" w:eastAsia="游ゴシック Light" w:cs="Times New Roman" w:asciiTheme="minorHAnsi" w:cstheme="majorBidi" w:eastAsiaTheme="majorEastAsia" w:hAnsiTheme="minorHAnsi"/>
      <w:color w:themeColor="text1" w:themeTint="a6" w:val="595959"/>
      <w:spacing w:val="15"/>
      <w:sz w:val="28"/>
      <w:szCs w:val="28"/>
    </w:rPr>
  </w:style>
  <w:style w:type="character" w:styleId="CytatZnak" w:customStyle="1">
    <w:name w:val="Cytat Znak"/>
    <w:basedOn w:val="DefaultParagraphFont"/>
    <w:link w:val="Quote"/>
    <w:uiPriority w:val="29"/>
    <w:qFormat/>
    <w:rsid w:val="0002431b"/>
    <w:rPr>
      <w:i/>
      <w:iCs/>
      <w:color w:themeColor="text1" w:themeTint="bf" w:val="404040"/>
    </w:rPr>
  </w:style>
  <w:style w:type="character" w:styleId="IntenseEmphasis">
    <w:name w:val="Intense Emphasis"/>
    <w:basedOn w:val="DefaultParagraphFont"/>
    <w:uiPriority w:val="21"/>
    <w:qFormat/>
    <w:rsid w:val="0002431b"/>
    <w:rPr>
      <w:i/>
      <w:iCs/>
      <w:color w:themeColor="accent1" w:themeShade="bf" w:val="0F4761"/>
    </w:rPr>
  </w:style>
  <w:style w:type="character" w:styleId="CytatintensywnyZnak" w:customStyle="1">
    <w:name w:val="Cytat intensywny Znak"/>
    <w:basedOn w:val="DefaultParagraphFont"/>
    <w:link w:val="IntenseQuote"/>
    <w:uiPriority w:val="30"/>
    <w:qFormat/>
    <w:rsid w:val="0002431b"/>
    <w:rPr>
      <w:i/>
      <w:iCs/>
      <w:color w:themeColor="accent1" w:themeShade="bf" w:val="0F4761"/>
    </w:rPr>
  </w:style>
  <w:style w:type="character" w:styleId="IntenseReference">
    <w:name w:val="Intense Reference"/>
    <w:basedOn w:val="DefaultParagraphFont"/>
    <w:uiPriority w:val="32"/>
    <w:qFormat/>
    <w:rsid w:val="0002431b"/>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3a3ca8"/>
    <w:rPr>
      <w:sz w:val="16"/>
      <w:szCs w:val="16"/>
    </w:rPr>
  </w:style>
  <w:style w:type="character" w:styleId="TekstkomentarzaZnak" w:customStyle="1">
    <w:name w:val="Tekst komentarza Znak"/>
    <w:basedOn w:val="DefaultParagraphFont"/>
    <w:link w:val="CommentText"/>
    <w:uiPriority w:val="99"/>
    <w:qFormat/>
    <w:rsid w:val="003a3ca8"/>
    <w:rPr>
      <w:sz w:val="20"/>
      <w:szCs w:val="20"/>
    </w:rPr>
  </w:style>
  <w:style w:type="character" w:styleId="TematkomentarzaZnak" w:customStyle="1">
    <w:name w:val="Temat komentarza Znak"/>
    <w:basedOn w:val="TekstkomentarzaZnak"/>
    <w:link w:val="annotationsubject"/>
    <w:uiPriority w:val="99"/>
    <w:semiHidden/>
    <w:qFormat/>
    <w:rsid w:val="003a3ca8"/>
    <w:rPr>
      <w:b/>
      <w:bCs/>
      <w:sz w:val="20"/>
      <w:szCs w:val="20"/>
    </w:rPr>
  </w:style>
  <w:style w:type="character" w:styleId="Hyperlink">
    <w:name w:val="Hyperlink"/>
    <w:basedOn w:val="DefaultParagraphFont"/>
    <w:uiPriority w:val="99"/>
    <w:unhideWhenUsed/>
    <w:rsid w:val="005108a7"/>
    <w:rPr>
      <w:color w:themeColor="hyperlink" w:val="467886"/>
      <w:u w:val="single"/>
    </w:rPr>
  </w:style>
  <w:style w:type="character" w:styleId="Mention">
    <w:name w:val="Mention"/>
    <w:basedOn w:val="DefaultParagraphFont"/>
    <w:uiPriority w:val="99"/>
    <w:unhideWhenUsed/>
    <w:qFormat/>
    <w:rsid w:val="00c21dcb"/>
    <w:rPr>
      <w:color w:val="2B579A"/>
      <w:shd w:fill="E1DFDD" w:val="clear"/>
    </w:rPr>
  </w:style>
  <w:style w:type="character" w:styleId="UnresolvedMention">
    <w:name w:val="Unresolved Mention"/>
    <w:basedOn w:val="DefaultParagraphFont"/>
    <w:uiPriority w:val="99"/>
    <w:semiHidden/>
    <w:unhideWhenUsed/>
    <w:qFormat/>
    <w:rsid w:val="00ff7e7a"/>
    <w:rPr>
      <w:color w:val="605E5C"/>
      <w:shd w:fill="E1DFDD" w:val="clear"/>
    </w:rPr>
  </w:style>
  <w:style w:type="character" w:styleId="NagwekZnak" w:customStyle="1">
    <w:name w:val="Nagłówek Znak"/>
    <w:basedOn w:val="DefaultParagraphFont"/>
    <w:uiPriority w:val="99"/>
    <w:qFormat/>
    <w:rsid w:val="00724438"/>
    <w:rPr/>
  </w:style>
  <w:style w:type="character" w:styleId="StopkaZnak" w:customStyle="1">
    <w:name w:val="Stopka Znak"/>
    <w:basedOn w:val="DefaultParagraphFont"/>
    <w:uiPriority w:val="99"/>
    <w:qFormat/>
    <w:rsid w:val="00724438"/>
    <w:rPr/>
  </w:style>
  <w:style w:type="character" w:styleId="FollowedHyperlink">
    <w:name w:val="FollowedHyperlink"/>
    <w:basedOn w:val="DefaultParagraphFont"/>
    <w:uiPriority w:val="99"/>
    <w:semiHidden/>
    <w:unhideWhenUsed/>
    <w:rsid w:val="00e633a6"/>
    <w:rPr>
      <w:color w:themeColor="followedHyperlink" w:val="96607D"/>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02431b"/>
    <w:pPr>
      <w:spacing w:lineRule="auto" w:line="240" w:before="0" w:after="80"/>
      <w:contextualSpacing/>
    </w:pPr>
    <w:rPr>
      <w:rFonts w:ascii="Aptos Display" w:hAnsi="Aptos Display"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02431b"/>
    <w:pPr/>
    <w:rPr>
      <w:rFonts w:ascii="Aptos" w:hAnsi="Aptos" w:eastAsia="游ゴシック Light" w:cs="Times New Roman"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ytatZnak"/>
    <w:uiPriority w:val="29"/>
    <w:qFormat/>
    <w:rsid w:val="0002431b"/>
    <w:pPr>
      <w:spacing w:before="160" w:after="160"/>
      <w:jc w:val="center"/>
    </w:pPr>
    <w:rPr>
      <w:i/>
      <w:iCs/>
      <w:color w:themeColor="text1" w:themeTint="bf" w:val="404040"/>
    </w:rPr>
  </w:style>
  <w:style w:type="paragraph" w:styleId="ListParagraph">
    <w:name w:val="List Paragraph"/>
    <w:basedOn w:val="Normal"/>
    <w:uiPriority w:val="34"/>
    <w:qFormat/>
    <w:rsid w:val="0002431b"/>
    <w:pPr>
      <w:spacing w:before="0" w:after="160"/>
      <w:ind w:start="720"/>
      <w:contextualSpacing/>
    </w:pPr>
    <w:rPr/>
  </w:style>
  <w:style w:type="paragraph" w:styleId="IntenseQuote">
    <w:name w:val="Intense Quote"/>
    <w:basedOn w:val="Normal"/>
    <w:next w:val="Normal"/>
    <w:link w:val="CytatintensywnyZnak"/>
    <w:uiPriority w:val="30"/>
    <w:qFormat/>
    <w:rsid w:val="0002431b"/>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CommentText">
    <w:name w:val="annotation text"/>
    <w:basedOn w:val="Normal"/>
    <w:link w:val="TekstkomentarzaZnak"/>
    <w:uiPriority w:val="99"/>
    <w:unhideWhenUsed/>
    <w:rsid w:val="003a3ca8"/>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3a3ca8"/>
    <w:pPr/>
    <w:rPr>
      <w:b/>
      <w:bCs/>
    </w:rPr>
  </w:style>
  <w:style w:type="paragraph" w:styleId="Revision">
    <w:name w:val="Revision"/>
    <w:uiPriority w:val="99"/>
    <w:semiHidden/>
    <w:qFormat/>
    <w:rsid w:val="00747340"/>
    <w:pPr>
      <w:widowControl/>
      <w:bidi w:val="0"/>
      <w:spacing w:lineRule="auto" w:line="240" w:before="0" w:after="0"/>
      <w:jc w:val="start"/>
    </w:pPr>
    <w:rPr>
      <w:rFonts w:ascii="Arial" w:hAnsi="Arial" w:eastAsia="Aptos" w:cs="Arial" w:cstheme="minorBidi" w:eastAsiaTheme="minorHAnsi"/>
      <w:color w:val="auto"/>
      <w:kern w:val="2"/>
      <w:sz w:val="22"/>
      <w:szCs w:val="22"/>
      <w:lang w:val="en-US" w:eastAsia="en-US" w:bidi="ar-SA"/>
      <w14:ligatures w14:val="standardContextual"/>
    </w:rPr>
  </w:style>
  <w:style w:type="paragraph" w:styleId="NormalWeb">
    <w:name w:val="Normal (Web)"/>
    <w:basedOn w:val="Normal"/>
    <w:uiPriority w:val="99"/>
    <w:semiHidden/>
    <w:unhideWhenUsed/>
    <w:qFormat/>
    <w:rsid w:val="009f718c"/>
    <w:pPr/>
    <w:rPr>
      <w:rFonts w:ascii="Times New Roman" w:hAnsi="Times New Roman" w:cs="Times New Roman"/>
      <w:sz w:val="24"/>
      <w:szCs w:val="24"/>
    </w:rPr>
  </w:style>
  <w:style w:type="paragraph" w:styleId="Gwkaistopka">
    <w:name w:val="Główka i stopka"/>
    <w:basedOn w:val="Normal"/>
    <w:qFormat/>
    <w:pPr/>
    <w:rPr/>
  </w:style>
  <w:style w:type="paragraph" w:styleId="Header">
    <w:name w:val="header"/>
    <w:basedOn w:val="Normal"/>
    <w:link w:val="NagwekZnak"/>
    <w:uiPriority w:val="99"/>
    <w:unhideWhenUsed/>
    <w:rsid w:val="00724438"/>
    <w:pPr>
      <w:tabs>
        <w:tab w:val="clear" w:pos="720"/>
        <w:tab w:val="center" w:pos="4680" w:leader="none"/>
        <w:tab w:val="right" w:pos="9360" w:leader="none"/>
      </w:tabs>
      <w:spacing w:lineRule="auto" w:line="240" w:before="0" w:after="0"/>
    </w:pPr>
    <w:rPr/>
  </w:style>
  <w:style w:type="paragraph" w:styleId="Footer">
    <w:name w:val="footer"/>
    <w:basedOn w:val="Normal"/>
    <w:link w:val="StopkaZnak"/>
    <w:uiPriority w:val="99"/>
    <w:unhideWhenUsed/>
    <w:rsid w:val="00724438"/>
    <w:pPr>
      <w:tabs>
        <w:tab w:val="clear" w:pos="720"/>
        <w:tab w:val="center" w:pos="4680" w:leader="none"/>
        <w:tab w:val="right" w:pos="9360" w:leader="none"/>
      </w:tabs>
      <w:spacing w:lineRule="auto" w:line="240" w:before="0" w:after="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ertiv.com/en-emea/services-catalog/maintenance-services/spare-parts-and-parts-management/vertiv-next-predict/" TargetMode="External"/><Relationship Id="rId3" Type="http://schemas.openxmlformats.org/officeDocument/2006/relationships/hyperlink" Target="https://www.vertiv.com/en-emea/products-catalog/facilities-enclosures-and-racks/integrated-solutions/vertiv-onecore-prefabricated-hybrid-built-data-center/" TargetMode="External"/><Relationship Id="rId4" Type="http://schemas.openxmlformats.org/officeDocument/2006/relationships/hyperlink" Target="https://www.vertiv.com/en-emea/products-catalog/facilities-enclosures-and-racks/integrated-solutions/vertiv-smartrun/" TargetMode="External"/><Relationship Id="rId5" Type="http://schemas.openxmlformats.org/officeDocument/2006/relationships/hyperlink" Target="https://www.vertiv.com/en-us/"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94fe29-9150-419b-92aa-e2a4c95be3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05E75A5AC9A641BB33FC2C9E94C60C" ma:contentTypeVersion="13" ma:contentTypeDescription="Create a new document." ma:contentTypeScope="" ma:versionID="9f4b45cbc60a472a0d56bbee3891484b">
  <xsd:schema xmlns:xsd="http://www.w3.org/2001/XMLSchema" xmlns:xs="http://www.w3.org/2001/XMLSchema" xmlns:p="http://schemas.microsoft.com/office/2006/metadata/properties" xmlns:ns2="58dbfe46-6e4c-4613-abde-209616919d7a" xmlns:ns3="8394fe29-9150-419b-92aa-e2a4c95be3b3" targetNamespace="http://schemas.microsoft.com/office/2006/metadata/properties" ma:root="true" ma:fieldsID="5d791061443a72b2a7b5206d9693ed1b" ns2:_="" ns3:_="">
    <xsd:import namespace="58dbfe46-6e4c-4613-abde-209616919d7a"/>
    <xsd:import namespace="8394fe29-9150-419b-92aa-e2a4c95be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bfe46-6e4c-4613-abde-209616919d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94fe29-9150-419b-92aa-e2a4c95be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a8cca1-1913-4a3c-bfd3-7e883f2b0d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B8C28-0666-44F2-AF99-7BCA486DB8E1}">
  <ds:schemaRefs>
    <ds:schemaRef ds:uri="http://schemas.microsoft.com/office/2006/metadata/properties"/>
    <ds:schemaRef ds:uri="http://schemas.microsoft.com/office/infopath/2007/PartnerControls"/>
    <ds:schemaRef ds:uri="8394fe29-9150-419b-92aa-e2a4c95be3b3"/>
  </ds:schemaRefs>
</ds:datastoreItem>
</file>

<file path=customXml/itemProps2.xml><?xml version="1.0" encoding="utf-8"?>
<ds:datastoreItem xmlns:ds="http://schemas.openxmlformats.org/officeDocument/2006/customXml" ds:itemID="{7759F89B-76AA-4339-B600-67DD338D7F4D}">
  <ds:schemaRefs>
    <ds:schemaRef ds:uri="http://schemas.microsoft.com/sharepoint/v3/contenttype/forms"/>
  </ds:schemaRefs>
</ds:datastoreItem>
</file>

<file path=customXml/itemProps3.xml><?xml version="1.0" encoding="utf-8"?>
<ds:datastoreItem xmlns:ds="http://schemas.openxmlformats.org/officeDocument/2006/customXml" ds:itemID="{2A615290-E96A-4711-A12F-C7CEDFA72B99}">
  <ds:schemaRefs>
    <ds:schemaRef ds:uri="http://schemas.openxmlformats.org/officeDocument/2006/bibliography"/>
  </ds:schemaRefs>
</ds:datastoreItem>
</file>

<file path=customXml/itemProps4.xml><?xml version="1.0" encoding="utf-8"?>
<ds:datastoreItem xmlns:ds="http://schemas.openxmlformats.org/officeDocument/2006/customXml" ds:itemID="{DECEA940-E72C-4ABE-A363-4E093D001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bfe46-6e4c-4613-abde-209616919d7a"/>
    <ds:schemaRef ds:uri="8394fe29-9150-419b-92aa-e2a4c95be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LibreOffice/25.8.4.2$Windows_X86_64 LibreOffice_project/290daaa01b999472f0c7a3890eb6a550fd74c6df</Application>
  <AppVersion>15.0000</AppVersion>
  <Pages>3</Pages>
  <Words>764</Words>
  <Characters>5392</Characters>
  <CharactersWithSpaces>6150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2026-01-26T14:39:00Z</dcterms:created>
  <dc:creator>Ocran, Vincent</dc:creator>
  <dc:description/>
  <dc:language>pl-PL</dc:language>
  <cp:lastModifiedBy/>
  <dcterms:modified xsi:type="dcterms:W3CDTF">2026-01-27T12:11:02Z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0x0101002505E75A5AC9A641BB33FC2C9E94C60C</vt:lpwstr>
  </property>
  <property fmtid="{D5CDD505-2E9C-101B-9397-08002B2CF9AE}" pid="3" name="GrammarlyDocumentId">
    <vt:lpwstr>eed3a6c2-edff-4b13-859a-e57f9e34db8a</vt:lpwstr>
  </property>
  <property fmtid="{D5CDD505-2E9C-101B-9397-08002B2CF9AE}" pid="4" name="MediaServiceImageTags">
    <vt:lpwstr/>
  </property>
  <property fmtid="{D5CDD505-2E9C-101B-9397-08002B2CF9AE}" pid="5" name="docLang">
    <vt:lpwstr>en</vt:lpwstr>
  </property>
</Properties>
</file>