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Cisco Live 2026: Silicon One G300 dla nowej generacji centrów danych AI</w:t>
      </w:r>
    </w:p>
    <w:p>
      <w:pPr>
        <w:pStyle w:val="Normal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>To, co jeszcze niedawno było domeną największych dostawców chmury, dziś staje się nowym standardem dla rynku. Infrastruktura AI musi łączyć ogromną skalę działania z efektywnością energetyczną i prostszym zarządzaniem. Odpowiedzią na te wyzwania są najnowsze rozwiązania Cisco.</w:t>
      </w:r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Najważniejsze informacje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Wraz z rozwojem ekosystemu AI poza środowiska hyperskalowe, innowacje Cisco w obszarze sieci AI odpowiadają na kluczowe wyzwania kolejnego etapu budowy centrów danych: wyższą efektywność energetyczną, niższe koszty operacyjne oraz uproszczenie zarządzania.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Cisco Silicon One G300 to układ przełączający o przepustowości 102,4 Tb/s, który umożliwia budowę klastrów AI w skali gigawatowej przeznaczonych do trenowania modeli, inferencji oraz obsługi agentowych zadań w czasie rzeczywistym. Rozwiązanie maksymalizuje wykorzystanie GPU, skracając czas realizacji zadań nawet o 28%.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Nowe systemy Cisco N9000 i Cisco 8000, oparte na G300, oferują przepustowość 102,4 Tb/s i zostały zaprojektowane z myślą o hyperskalerach, neocloudach, chmurach suwerennych, dostawcach usług oraz przedsiębiorstwach.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Systemy dostępne są także w wersji w pełni chłodzonej cieczą, która w połączeniu z nową generacją optyki pozwala poprawić efektywność energetyczną nawet o blisko 70%.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Nexus One zapewnia teraz bardziej spójny i elastyczny model operacyjny w środowiskach lokalnych i chmurowych, umożliwiając szybsze uruchamianie architektury, przewidywalne skalowanie infrastruktury oraz bezpieczne i efektywne zarządzanie siecią.</w:t>
      </w:r>
      <w:r>
        <w:rPr>
          <w:rFonts w:cs="Calibri" w:ascii="Calibri" w:hAnsi="Calibri"/>
          <w:b/>
          <w:bCs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CISCO LIVE EMEA, Amsterdam – 12 lutego 2026 r.</w:t>
      </w:r>
      <w:r>
        <w:rPr>
          <w:rFonts w:cs="Calibri" w:ascii="Calibri" w:hAnsi="Calibri"/>
          <w:sz w:val="22"/>
          <w:szCs w:val="22"/>
        </w:rPr>
        <w:t xml:space="preserve"> – Cisco kontynuuje transformację sieci w platformę innowacji dla AI, prezentując Silicon One G300, nowy układ przełączający o przepustowości 102,4 Tb/s, zaprojektowany z myślą o masowej rozbudowie klastrów AI. Silicon One G300 będzie podstawą nowej generacji systemów Cisco N9000 i Cisco 8000, które wyznaczają kolejny etap rozwoju sieci centrów danych dla sztucznej inteligencji.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Nowe systemy wykorzystują innowacyjne chłodzenie cieczą oraz obsługują optykę o bardzo wysokiej gęstości, co pozwala osiągnąć nowe poziomy efektywności i maksymalnie wykorzystać inwestycje w GPU. Równolegle Cisco rozwija platformę Nexus One, upraszczając zarządzanie sieciami AI, zarówno w centrach danych, jak i w chmurze, eliminując złożoność, która często hamuje skalowanie infrastruktury.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Silicon One G300 – sieciowy fundament ery agentowej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Silicon One G300 to układ przełączający o przepustowości 102,4 Tb/s, który wyznacza nowy standard w obszarze zaplecza sieciowego dla AI. Został zaprojektowany z myślą o bardzo dużych, rozproszonych klastrach AI, oferując wysoką wydajność, niezawodność i bezpieczeństwo.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Kluczowym wyróżnikiem G300 jest </w:t>
      </w:r>
      <w:r>
        <w:rPr>
          <w:rFonts w:cs="Calibri" w:ascii="Calibri" w:hAnsi="Calibri"/>
          <w:b/>
          <w:bCs/>
          <w:sz w:val="22"/>
          <w:szCs w:val="22"/>
        </w:rPr>
        <w:t>Intelligent Collective Networking</w:t>
      </w:r>
      <w:r>
        <w:rPr>
          <w:rFonts w:cs="Calibri" w:ascii="Calibri" w:hAnsi="Calibri"/>
          <w:sz w:val="22"/>
          <w:szCs w:val="22"/>
        </w:rPr>
        <w:t>, czyli podejście łączące w pełni współdzielony bufor pakietów, równoważenie obciążenia (</w:t>
      </w:r>
      <w:r>
        <w:rPr>
          <w:rFonts w:cs="Calibri" w:ascii="Calibri" w:hAnsi="Calibri"/>
          <w:i/>
          <w:iCs/>
          <w:sz w:val="22"/>
          <w:szCs w:val="22"/>
        </w:rPr>
        <w:t>load balancing</w:t>
      </w:r>
      <w:r>
        <w:rPr>
          <w:rFonts w:cs="Calibri" w:ascii="Calibri" w:hAnsi="Calibri"/>
          <w:sz w:val="22"/>
          <w:szCs w:val="22"/>
        </w:rPr>
        <w:t>) oparte na ścieżkach oraz proaktywną telemetrię sieciową.</w:t>
      </w:r>
      <w:r>
        <w:rPr/>
        <w:t xml:space="preserve"> </w:t>
      </w:r>
      <w:r>
        <w:rPr>
          <w:rFonts w:cs="Calibri" w:ascii="Calibri" w:hAnsi="Calibri"/>
          <w:sz w:val="22"/>
          <w:szCs w:val="22"/>
        </w:rPr>
        <w:t>Dzięki temu sieć sprawnie obsługuje nagłe skoki ruchu generowane przez systemy AI, automatycznie omija awarie połączeń i minimalizuje ryzyko utraty danych, które mogłoby przerywać pracę modeli. W praktyce oznacza to do 33% wyższe wykorzystanie sieci oraz skrócenie czasu realizacji zadań AI o 28% w porównaniu do środowisk bez zoptymalizowanego wyboru ścieżek. Przekłada się to bezpośrednio na większą rentowność centrów danych – więcej tokenów generowanych na każdą godzinę pracy GPU.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Silicon One G300 jest również wysoce programowalny, co umożliwia aktualizację funkcji sieciowych już po wdrożeniu sprzętu. Pozwala to obsługiwać nowe scenariusze użycia i różne role sieciowe bez konieczności wymiany infrastruktury, chroniąc długoterminowe inwestycje. Zintegrowane na poziomie sprzętowym mechanizmy bezpieczeństwa umożliwiają natomiast stosowanie spójnych zabezpieczeń bez kompromisów wydajnościowych.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Cisco Silicon One, wprowadzony w 2019 roku, to skalowalna i programowalna architektura sieciowa wykorzystywana dziś w największych sieciach na świecie – od środowisk AI po centra danych i sieci operatorskie.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Nowe systemy i optyka – wysoka gęstość, skalowalność i efektywność energetyczna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Aby wesprzeć dostawców infrastruktury AI, Cisco wprowadza nową generację systemów Ethernet Cisco N9000 oraz Cisco 8000, opartych na Silicon One i zaprojektowanych z myślą o ekstremalnym zapotrzebowaniu na energię i chłodzenie. Uzupełnieniem są innowacyjne rozwiązania optyczne, które dodatkowo zwiększają efektywność i niezawodność.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Systemy Cisco N9100 i Cisco 8000 102.4T</w:t>
      </w:r>
      <w:r>
        <w:rPr>
          <w:rFonts w:cs="Calibri" w:ascii="Calibri" w:hAnsi="Calibri"/>
          <w:sz w:val="22"/>
          <w:szCs w:val="22"/>
        </w:rPr>
        <w:t xml:space="preserve"> – oparte na Silicon One G300, dostępne w wersjach chłodzonych powietrzem i w 100% chłodzonych cieczą. Warianty cieczowe oferują znacznie wyższą gęstość pasma i niemal 70% poprawę efektywności energetycznej, zapewniając w jednym systemie przepustowość, która wcześniej wymagała sześciu urządzeń poprzedniej generacji.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Optyka 1.6T OSFP (Octal Small Form-factor Pluggable)</w:t>
      </w:r>
      <w:r>
        <w:rPr>
          <w:rFonts w:cs="Calibri" w:ascii="Calibri" w:hAnsi="Calibri"/>
          <w:sz w:val="22"/>
          <w:szCs w:val="22"/>
        </w:rPr>
        <w:t xml:space="preserve"> - zapewniają łączność o bardzo wysokiej przepustowości dla architektur AI typu scale-out, obsługując połączenia 1,6T między przełącznikiem a kartą sieciową (NIC) oraz 1,6T, 800G, 400G i 200G między przełącznikiem a serwerem, gwarantując wysoką wydajność i niezawodność działania.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800G Linear Pluggable Optics (LPO)</w:t>
      </w:r>
      <w:r>
        <w:rPr>
          <w:rFonts w:cs="Calibri" w:ascii="Calibri" w:hAnsi="Calibri"/>
          <w:sz w:val="22"/>
          <w:szCs w:val="22"/>
        </w:rPr>
        <w:t xml:space="preserve"> - rozwiązanie zwiększające efektywność energetyczną sieci AI scale-out, zmniejszające zużycie energii modułów optycznych o 50% w porównaniu do klasycznych rozwiązań z retimingiem. W połączeniu z nowymi systemami N9000 i 8000 pozwala to obniżyć całkowite zużycie energii przez przełączniki nawet o 30%.</w:t>
      </w:r>
    </w:p>
    <w:p>
      <w:pPr>
        <w:pStyle w:val="NormalWeb"/>
        <w:numPr>
          <w:ilvl w:val="0"/>
          <w:numId w:val="2"/>
        </w:numPr>
        <w:spacing w:before="280" w:after="280"/>
        <w:jc w:val="both"/>
        <w:rPr>
          <w:rFonts w:ascii="Calibri" w:hAnsi="Calibri" w:eastAsia="" w:cs="Calibri" w:eastAsiaTheme="minorEastAsia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" w:cs="Calibri" w:ascii="Calibri" w:hAnsi="Calibri" w:eastAsiaTheme="minorEastAsia"/>
          <w:b/>
          <w:kern w:val="2"/>
          <w:sz w:val="22"/>
          <w:szCs w:val="22"/>
          <w:lang w:eastAsia="en-US"/>
          <w14:ligatures w14:val="standardContextual"/>
        </w:rPr>
        <w:t xml:space="preserve">Rozszerzone portfolio systemów opartych na Silicon One P200 - </w:t>
      </w:r>
      <w:r>
        <w:rPr>
          <w:rFonts w:eastAsia="" w:cs="Calibri" w:ascii="Calibri" w:hAnsi="Calibri" w:eastAsiaTheme="minorEastAsia"/>
          <w:kern w:val="2"/>
          <w:sz w:val="22"/>
          <w:szCs w:val="22"/>
          <w:lang w:eastAsia="en-US"/>
          <w14:ligatures w14:val="standardContextual"/>
        </w:rPr>
        <w:t>obejmuje nowe platformy N9000 oraz rozszerzone wsparcie dla systemów 8223, umożliwiając skalowanie infrastruktury w zakresie połączeń między centrami danych, warstwy rdzeniowej oraz routingu – dla neocloudów, firm i operatorów. Cisco wprowadza również nowe modularne karty liniowe 28,8T. W połączeniu z optyką 800G ZR/ZR+ rozwiązania te pozwalają wdrażać jedną, spójną architekturę sieciową w różnych obszarach infrastruktury.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Cisco Nexus One – inteligentne sieci AI dla nowoczesnej infrastruktury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Organizacje potrzebują dziś większej elastyczności w zakresie tego, gdzie i w jaki sposób uruchamiają obciążenia AI – lokalnie (on-premises), w środowiskach kontenerowych, na serwerach bare metal lub w maszynach wirtualnych. Odpowiedzią na te potrzeby jest rozwój platformy Nexus One, która oferuje spójny model operacyjny łączący krzem, platformy sprzętowe, optykę, oprogramowanie oraz programowalną inteligencję w jedno, zintegrowane rozwiązanie.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Nowe funkcje obejmują: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Unified Fabric</w:t>
      </w:r>
      <w:r>
        <w:rPr>
          <w:rFonts w:cs="Calibri" w:ascii="Calibri" w:hAnsi="Calibri"/>
          <w:sz w:val="22"/>
          <w:szCs w:val="22"/>
        </w:rPr>
        <w:t xml:space="preserve"> - umożliwia szybkie wdrażanie i dynamiczne dostosowywanie sieci do zmieniających się potrzeb, z wbudowaną automatyzacją i możliwością personalizacji poprzez API.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Obserwowalność zadań AI i natywna integracja z platformą Splunk</w:t>
      </w:r>
      <w:r>
        <w:rPr>
          <w:rFonts w:cs="Calibri" w:ascii="Calibri" w:hAnsi="Calibri"/>
          <w:sz w:val="22"/>
          <w:szCs w:val="22"/>
        </w:rPr>
        <w:t xml:space="preserve"> - Nexus One zapewnia wgląd w działanie zadań AI w kontekście całej infrastruktury – od sieci po GPU – łącząc dane telemetryczne z rzeczywistym zachowaniem obciążeń. Dzięki natywnej integracji z platformą Splunk, planowanej na marzec, klienci będą mogli analizować dane bezpośrednio w miejscu ich przechowywania, bez konieczności przenoszenia ich do zewnętrznych systemów. To kluczowe rozwiązanie dla chmur suwerennych oraz środowisk podlegających ścisłym regulacjom, w których lokalizacja danych ma zasadnicze znaczenie.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Dostępność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Silicon One G300, systemy oparte na G300 oraz nowa optyka trafią do sprzedaży jeszcze w tym roku.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Wsparcie ekosystemu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Cisco współpracuje z kluczowymi partnerami technologicznymi, takimi jak AMD, DDN, Intel, NVIDIA oraz VAST, łącząc zaawansowane rozwiązania sieciowe, obliczeniowe i pamięciowe w zoptymalizowaną infrastrukturę AI. Szerokie partnerstwa w ramach ekosystemu AI zapewniają klientom elastyczność wyboru i bezpieczeństwo inwestycji.</w:t>
      </w:r>
    </w:p>
    <w:p>
      <w:pPr>
        <w:pStyle w:val="Normal"/>
        <w:jc w:val="both"/>
        <w:rPr/>
      </w:pPr>
      <w:r>
        <w:rPr/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rStyle w:val="eop"/>
          <w:rFonts w:ascii="Calibri" w:hAnsi="Calibri" w:eastAsia="" w:cs="Calibri" w:eastAsiaTheme="majorEastAsia"/>
          <w:color w:val="000000"/>
          <w:sz w:val="22"/>
          <w:szCs w:val="22"/>
        </w:rPr>
      </w:pPr>
      <w:r>
        <w:rPr>
          <w:rStyle w:val="normaltextrun"/>
          <w:rFonts w:eastAsia="" w:cs="Calibri" w:ascii="Calibri" w:hAnsi="Calibri" w:eastAsiaTheme="majorEastAsia"/>
          <w:color w:val="000000"/>
          <w:sz w:val="22"/>
          <w:szCs w:val="22"/>
          <w:shd w:fill="FFFFFF" w:val="clear"/>
        </w:rPr>
        <w:t>.:|:.:|:.</w:t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rFonts w:ascii="Segoe UI" w:hAnsi="Segoe UI" w:cs="Segoe UI"/>
          <w:sz w:val="21"/>
          <w:szCs w:val="21"/>
        </w:rPr>
      </w:pPr>
      <w:r>
        <w:rPr>
          <w:rFonts w:cs="Segoe UI" w:ascii="Segoe UI" w:hAnsi="Segoe UI"/>
          <w:sz w:val="21"/>
          <w:szCs w:val="21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eop"/>
          <w:rFonts w:ascii="Calibri" w:hAnsi="Calibri" w:eastAsia="" w:cs="Calibri" w:eastAsiaTheme="majorEastAsia"/>
          <w:sz w:val="20"/>
          <w:szCs w:val="20"/>
        </w:rPr>
      </w:pPr>
      <w:r>
        <w:rPr>
          <w:rStyle w:val="normaltextrun"/>
          <w:rFonts w:eastAsia="" w:cs="Calibri" w:ascii="Calibri" w:hAnsi="Calibri" w:eastAsiaTheme="majorEastAsia"/>
          <w:b/>
          <w:bCs/>
          <w:sz w:val="20"/>
          <w:szCs w:val="20"/>
        </w:rPr>
        <w:t>O Cisco   </w:t>
      </w:r>
      <w:r>
        <w:rPr>
          <w:rStyle w:val="normaltextrun"/>
          <w:rFonts w:eastAsia="" w:cs="Calibri" w:ascii="Calibri" w:hAnsi="Calibri" w:eastAsiaTheme="majorEastAsia"/>
          <w:sz w:val="20"/>
          <w:szCs w:val="20"/>
        </w:rPr>
        <w:t> </w:t>
      </w:r>
      <w:r>
        <w:rPr>
          <w:rStyle w:val="eop"/>
          <w:rFonts w:eastAsia="" w:cs="Calibri" w:ascii="Calibri" w:hAnsi="Calibri" w:eastAsiaTheme="majorEastAsia"/>
          <w:sz w:val="20"/>
          <w:szCs w:val="20"/>
        </w:rPr>
        <w:t> 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Fonts w:cs="Segoe UI" w:ascii="Segoe UI" w:hAnsi="Segoe UI"/>
          <w:sz w:val="21"/>
          <w:szCs w:val="21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Style w:val="normaltextrun"/>
          <w:rFonts w:ascii="Calibri" w:hAnsi="Calibri" w:eastAsia="" w:cs="Calibri" w:eastAsiaTheme="majorEastAsia"/>
          <w:sz w:val="20"/>
          <w:szCs w:val="20"/>
        </w:rPr>
      </w:pPr>
      <w:r>
        <w:rPr>
          <w:rStyle w:val="normaltextrun"/>
          <w:rFonts w:eastAsia="" w:cs="Calibri" w:ascii="Calibri" w:hAnsi="Calibri" w:eastAsiaTheme="majorEastAsia"/>
          <w:sz w:val="20"/>
          <w:szCs w:val="20"/>
        </w:rPr>
        <w:t>Cisco (NASDAQ: CSCO) to światowy lider technologiczny, który rewolucjonizuje sposób, w jaki organizacje łączą się i chronią w erze AI. Od ponad 40 lat Cisco bezpiecznie łączy świat. Dzięki wiodącym w branży rozwiązaniom i usługom opartym na AI, Cisco umożliwia swoim klientom, partnerom i społecznościom odblokowanie innowacji, zwiększenie produktywności i wzmocnienie odporności cyfrowej oraz pozostaje zaangażowane w tworzenie bardziej połączonej i inkluzywnej przyszłości dla wszystkich.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Fonts w:cs="Segoe UI" w:ascii="Segoe UI" w:hAnsi="Segoe UI"/>
          <w:sz w:val="21"/>
          <w:szCs w:val="21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eastAsia="" w:cs="Calibri" w:ascii="Calibri" w:hAnsi="Calibri" w:eastAsiaTheme="majorEastAsia"/>
          <w:sz w:val="20"/>
          <w:szCs w:val="20"/>
        </w:rPr>
        <w:t>Cisco i logo Cisco są znakami towarowymi lub zastrzeżonymi znakami towarowymi firmy Cisco i/lub jej podmiotów stowarzyszonych w Stanach Zjednoczonych i innych krajach. Listę znaków towarowych Cisco można znaleźć na stronie www.cisco.com/go/trademarks. Wymienione znaki towarowe innych firm są własnością ich odpowiednich właścicieli. Użycie słowa partner nie oznacza relacji partnerskiej między Cisco a jakąkolwiek inną firmą.  </w:t>
      </w:r>
      <w:r>
        <w:rPr>
          <w:rStyle w:val="eop"/>
          <w:rFonts w:eastAsia="" w:cs="Calibri" w:ascii="Calibri" w:hAnsi="Calibri" w:eastAsiaTheme="majorEastAsia"/>
          <w:sz w:val="20"/>
          <w:szCs w:val="20"/>
        </w:rPr>
        <w:t> 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9e223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9e223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9e223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9e223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9e223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9e223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9e223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9e223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9e223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e223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9e223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9e223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9e2233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9e2233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9e223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9e223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9e223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9e223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9e223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9e223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9e223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e2233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9e223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e2233"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uiPriority w:val="22"/>
    <w:qFormat/>
    <w:rsid w:val="00d954a5"/>
    <w:rPr>
      <w:b/>
      <w:bCs/>
    </w:rPr>
  </w:style>
  <w:style w:type="character" w:styleId="normaltextrun" w:customStyle="1">
    <w:name w:val="normaltextrun"/>
    <w:basedOn w:val="DefaultParagraphFont"/>
    <w:qFormat/>
    <w:rsid w:val="000f437a"/>
    <w:rPr/>
  </w:style>
  <w:style w:type="character" w:styleId="eop" w:customStyle="1">
    <w:name w:val="eop"/>
    <w:basedOn w:val="DefaultParagraphFont"/>
    <w:qFormat/>
    <w:rsid w:val="000f437a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9e223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9e223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e223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e223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e2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unhideWhenUsed/>
    <w:qFormat/>
    <w:rsid w:val="00d954a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aragraph" w:customStyle="1">
    <w:name w:val="paragraph"/>
    <w:basedOn w:val="Normal"/>
    <w:qFormat/>
    <w:rsid w:val="000f437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Application>LibreOffice/25.8.4.2$Windows_X86_64 LibreOffice_project/290daaa01b999472f0c7a3890eb6a550fd74c6df</Application>
  <AppVersion>15.0000</AppVersion>
  <Pages>3</Pages>
  <Words>1139</Words>
  <Characters>7557</Characters>
  <CharactersWithSpaces>8673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2026-02-11T10:53:00Z</dcterms:created>
  <dc:creator>Małgorzata Trociewicz</dc:creator>
  <dc:description/>
  <dc:language>pl-PL</dc:language>
  <cp:lastModifiedBy/>
  <dcterms:modified xsi:type="dcterms:W3CDTF">2026-02-12T15:08:32Z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59d7fdbf-d5d7-4e26-8d52-b0e8947580a8</vt:lpwstr>
  </property>
</Properties>
</file>