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eastAsia="Arial" w:cs="Calibri" w:cstheme="minorHAnsi"/>
          <w:b/>
          <w:bCs/>
          <w:color w:themeColor="text1" w:val="000000"/>
          <w:sz w:val="28"/>
          <w:szCs w:val="28"/>
        </w:rPr>
      </w:pPr>
      <w:r>
        <w:rPr>
          <w:rFonts w:eastAsia="Arial" w:cs="Calibri" w:cstheme="minorHAnsi"/>
          <w:b/>
          <w:bCs/>
          <w:color w:themeColor="text1" w:val="000000"/>
          <w:sz w:val="28"/>
          <w:szCs w:val="28"/>
        </w:rPr>
      </w:r>
    </w:p>
    <w:p>
      <w:pPr>
        <w:pStyle w:val="Normal"/>
        <w:jc w:val="center"/>
        <w:rPr>
          <w:rFonts w:eastAsia="Arial"/>
          <w:b/>
          <w:bCs/>
          <w:color w:themeColor="text1" w:val="000000"/>
          <w:sz w:val="28"/>
          <w:szCs w:val="28"/>
        </w:rPr>
      </w:pPr>
      <w:r>
        <w:rPr>
          <w:rFonts w:eastAsia="Arial"/>
          <w:b/>
          <w:bCs/>
          <w:color w:themeColor="text1" w:val="000000"/>
          <w:sz w:val="28"/>
          <w:szCs w:val="28"/>
        </w:rPr>
        <w:t>Equinix prezentuje Distributed AI Hub – jednolity i bezpieczny ekosystem dla infrastruktury AI</w:t>
      </w:r>
    </w:p>
    <w:p>
      <w:pPr>
        <w:pStyle w:val="Normal"/>
        <w:jc w:val="center"/>
        <w:rPr>
          <w:rFonts w:eastAsia="Arial" w:cs="Calibri" w:cstheme="minorHAnsi"/>
          <w:i/>
          <w:iCs/>
          <w:color w:themeColor="text1" w:val="000000"/>
        </w:rPr>
      </w:pPr>
      <w:r>
        <w:rPr>
          <w:rFonts w:eastAsia="Arial" w:cs="Calibri" w:cstheme="minorHAnsi"/>
          <w:i/>
          <w:iCs/>
          <w:color w:themeColor="text1" w:val="000000"/>
        </w:rPr>
        <w:t xml:space="preserve">Aby zapewnić wykrywanie zagrożeń dla procesów AI w czasie rzeczywistym, został on zintegrowany z rozwiązaniami Palo Alto Networks </w:t>
      </w:r>
    </w:p>
    <w:p>
      <w:pPr>
        <w:pStyle w:val="Normal"/>
        <w:jc w:val="both"/>
        <w:rPr/>
      </w:pPr>
      <w:r>
        <w:rPr>
          <w:b/>
          <w:bCs/>
        </w:rPr>
        <w:t xml:space="preserve">WARSZAWA, Polska, 12 marca 2026 r. </w:t>
      </w:r>
      <w:r>
        <w:rPr/>
        <w:t xml:space="preserve"> – </w:t>
      </w:r>
      <w:hyperlink r:id="rId2">
        <w:r>
          <w:rPr>
            <w:rStyle w:val="Hyperlink"/>
          </w:rPr>
          <w:t>Equinix, Inc.</w:t>
        </w:r>
      </w:hyperlink>
      <w:r>
        <w:rPr/>
        <w:t xml:space="preserve"> (Nasdaq: EQIX), globalna firma specjalizująca się w infrastrukturze cyfrowej, zaprezentowała dziś Distributed AI Hub. Rozwiązanie oparte na platformie Equinix Fabric Intelligence zapewni przedsiębiorstwom jednolite, zintegrowane środowisko do łączenia, zabezpieczania i upraszczania coraz bardziej złożonych oraz rozproszonych ekosystemów sztucznej inteligencji. Hub stanowi neutralne środowisko, w którym firmy mogą wyszukiwać, nawiązywać połączenia i korzystać z infrastruktury dostawców AI. Obejmuje to twórców modeli, chmury GPU, platformy danych, usługi sieciowe i bezpieczeństwa oraz frameworki AI. Wszystko to jest dostępne za pośrednictwem prywatnej łączności o niskich opóźnieniach w 280 centrach danych Equinix, które są przygotowane do obsługi rozwiązań sztucznej inteligencji.</w:t>
      </w:r>
    </w:p>
    <w:p>
      <w:pPr>
        <w:pStyle w:val="Normal"/>
        <w:ind w:start="708"/>
        <w:jc w:val="both"/>
        <w:rPr>
          <w:i/>
          <w:iCs/>
        </w:rPr>
      </w:pPr>
      <w:r>
        <w:rPr>
          <w:i/>
          <w:iCs/>
        </w:rPr>
        <w:t>- Firmy intensywnie wdrażają agentowe rozwiązania AI, jednak okazuje się, że ich dotychczasowa infrastruktura nie była projektowana z myślą o złożoności, jaką niesie ze sobą rozproszenie sztucznej inteligencji. Do 2027 roku IDC przewiduje, że 80% przedsiębiorstw wdroży rozproszoną infrastrukturę brzegową, aby poprawić opóźnienia i responsywność aplikacji opartych na AI. W związku z tym, aby móc zintegrować te rozproszone systemy, przedsiębiorstwa będą potrzebować rozwiązań takich jak Distributed AI Hub od Equinix –</w:t>
      </w:r>
      <w:r>
        <w:rPr/>
        <w:t xml:space="preserve"> mówi Mary Johnston Turner, Research Vice President, Digital Infrastructure Strategies w IDC.</w:t>
      </w:r>
    </w:p>
    <w:p>
      <w:pPr>
        <w:pStyle w:val="Normal"/>
        <w:jc w:val="both"/>
        <w:rPr/>
      </w:pPr>
      <w:r>
        <w:rPr/>
        <w:t>Aby w pełni wykorzystać potencjał agentowej AI, przedsiębiorstwa muszą zintegrować z natury rozdzielone procesy. Dane wykorzystywane do trenowania modeli oraz zadania dotyczące wnioskowania są dziś rozmieszczone pomiędzy chmurami publicznymi, prywatnymi centrami danych, infrastrukturą brzegową oraz rosnącą liczbą wyspecjalizowanych neochmur (GPU). Każdy z tych elementów wiąże się z odmiennymi wymaganiami dotyczącymi wydajności i suwerenności danych. Ta złożona struktura może spowalniać innowacje i utrudniać zarządzanie. Sprawia także, że uruchamianie procesów sztucznej inteligencji tam, gdzie znajdują się dane, na których się opierają, staje się prawie niemożliwe. To w konsekwencji ogranicza zarówno realny wpływ na biznes, jak i jakość doświadczenia użytkowników.</w:t>
      </w:r>
    </w:p>
    <w:p>
      <w:pPr>
        <w:pStyle w:val="Normal"/>
        <w:jc w:val="both"/>
        <w:rPr/>
      </w:pPr>
      <w:r>
        <w:rPr/>
        <w:t>Dlatego Equinix rozwija swój rozproszony model infrastruktury AI o kolejny krok, wprowadzając Distributed AI Hub – rozwiązanie zapewniające organizacjom prostszy, bezpieczniejszy i bardziej wydajny sposób uruchamiania sztucznej inteligencji oraz zarządzania nią w wielu lokalizacjach jednocześnie.</w:t>
      </w:r>
    </w:p>
    <w:p>
      <w:pPr>
        <w:pStyle w:val="Normal"/>
        <w:ind w:start="708"/>
        <w:jc w:val="both"/>
        <w:rPr/>
      </w:pPr>
      <w:r>
        <w:rPr>
          <w:i/>
          <w:iCs/>
        </w:rPr>
        <w:t xml:space="preserve">- Sztuczna inteligencja nie funkcjonuje w modelu scentralizowanym – jednak odpowiednio zaprojektowana infrastruktura może sprawić, że będzie działać tak płynnie, jakby była. Equinix stanowi platformę, gdzie łączą się sztuczna inteligencja, chmura i infrastruktura sieciowa. Oferujemy przedsiębiorstwom swobodę budowania i skalowania rozwiązań AI wszędzie tam, gdzie znajdują się już ich dane, partnerzy i zespoły. Jednocześnie umożliwiamy uruchamianie procesów AI bezpośrednio w miejscach, gdzie przechowywane są dane i gdzie znajdują się użytkownicy, którzy z nich korzystają. Wszystko to odbywa się bez dodatkowych trudności związanych z łączeniem skomplikowanych, rozproszonych systemów. Dzięki Distributed AI Hub oferujemy naszym klientom prostszy, inteligentniejszy i znacznie lepiej skomunikowany sposób uruchamiania oraz skalowania rozwiązań AI. Budujemy jeden z najbardziej rozwiniętych i neutralnych ekosystemów sztucznej inteligencji </w:t>
      </w:r>
      <w:r>
        <w:rPr/>
        <w:t>– mówi Jon Lin, Chief Business Officer w Equinix.</w:t>
      </w:r>
    </w:p>
    <w:p>
      <w:pPr>
        <w:pStyle w:val="Normal"/>
        <w:spacing w:before="240" w:after="240"/>
        <w:jc w:val="both"/>
        <w:rPr>
          <w:rFonts w:ascii="Calibri" w:hAnsi="Calibri" w:eastAsia="Calibri" w:cs="Calibri"/>
        </w:rPr>
      </w:pPr>
      <w:r>
        <w:rPr/>
        <w:t xml:space="preserve">Distributed AI Hub zapewnia zintegrowaną platformę, która łączy w jednym miejscu dane, obliczenia, platformy chmurowe oraz partnerów z całego ekosystemu AI w neutralnym środowisku. Rozwiązanie to umożliwia przedsiębiorstwom uruchamianie procesów AI tam, gdzie osiągają one najlepszą wydajność – bez konieczności każdorazowej przebudowy architektury systemów lub przenoszenia danych pomiędzy różnymi lokalizacjami. </w:t>
      </w:r>
      <w:r>
        <w:rPr>
          <w:rFonts w:eastAsia="Calibri" w:cs="Calibri" w:ascii="Calibri" w:hAnsi="Calibri"/>
        </w:rPr>
        <w:t xml:space="preserve"> Hub oferuje prosty i bezpieczny sposób na łączenie modeli, przesyłanie danych, przeprowadzanie analiz oraz zarządzanie rozproszonymi systemami AI, zapewniając jednocześnie spójną kontrolę i nadzór.</w:t>
      </w:r>
    </w:p>
    <w:p>
      <w:pPr>
        <w:pStyle w:val="Normal"/>
        <w:jc w:val="both"/>
        <w:rPr/>
      </w:pPr>
      <w:r>
        <w:rPr/>
        <w:t xml:space="preserve">W przeciwieństwie do platform AI tworzonych przez największych dostawców, którzy promują własne usługi, Distributed AI Hub został zaprojektowany jako rozwiązanie otwarte i niezależne od dostawców. Daje to firmom swobodę budowania własnej architektury AI w oparciu o różne najlepsze rozwiązania dostępne na rynku. </w:t>
      </w:r>
    </w:p>
    <w:p>
      <w:pPr>
        <w:pStyle w:val="Normal"/>
        <w:jc w:val="both"/>
        <w:rPr/>
      </w:pPr>
      <w:r>
        <w:rPr/>
        <w:t>Integracja Hubu z rozwiązaniami Palo Alto Networks umożliwia użytkownikom ochronę w czasie rzeczywistym dla interakcji agentów i modeli AI z zewnętrznymi narzędziami oraz źródłami danych. Połączenie globalnej infrastruktury AI firmy Equinix oraz szybkiej, prywatnej łączności między systemami z wykorzystaniem rozwiązania Prisma AIRS od Palo Alto Networks, które oferuje bezpieczeństwo w czasie rzeczywistym, zapewnia przedsiębiorstwom pełną widoczność i kontrolę. Dzięki temu firmy mają pełną kontrolę nad swoimi danymi oraz aplikacjami AI. Dodatkowo, Prisma AIRS umożliwia scentralizowane egzekwowanie wytycznych, a przedsiębiorstwa mogą zarządzać swoimi systemami AI niezależnie od lokalizacji. Rozwiązanie Prisma AIRS będzie również dostępne w ramach Equinix Network Edge. W efekcie organizacje będą mogły centralnie zarządzać usługami bezpieczeństwa opartymi na AI działającymi na brzegu sieci (digital edge), czyli bliżej użytkowników, środowisk chmurowych oraz kluczowych obciążeń systemowych.</w:t>
      </w:r>
    </w:p>
    <w:p>
      <w:pPr>
        <w:pStyle w:val="Normal"/>
        <w:ind w:start="708"/>
        <w:jc w:val="both"/>
        <w:rPr/>
      </w:pPr>
      <w:r>
        <w:rPr>
          <w:i/>
          <w:iCs/>
        </w:rPr>
        <w:t xml:space="preserve">- Dyskusja o rozproszonej sztucznej inteligencji wreszcie nabiera realnych kształtów. Nie chodzi już wyłącznie o zasoby obliczeniowe i dane – kluczowe staje się to, gdzie dane są przechowywane oraz w jaki sposób realizowane są obliczenia. Equinix odpowiada na ten problem, łącząc w ramach jednej architektury kwestie rozmieszczenia zasobów obliczeniowych, zasad zarządzania i nadzoru nad AI oraz przewidywanej wydajności – właśnie dzięki Distributed AI Hub. To podejście sprawia, że rozproszona sztuczna inteligencja może być realnie wdrażana </w:t>
      </w:r>
      <w:r>
        <w:rPr>
          <w:i/>
        </w:rPr>
        <w:t xml:space="preserve">na dużą skalę w </w:t>
      </w:r>
      <w:r>
        <w:rPr>
          <w:i/>
          <w:iCs/>
        </w:rPr>
        <w:t>przedsiębiorstwach</w:t>
      </w:r>
      <w:r>
        <w:rPr/>
        <w:t xml:space="preserve"> – mówi Lloyd Taylor, CTO/CISO w Alembic.</w:t>
      </w:r>
    </w:p>
    <w:p>
      <w:pPr>
        <w:pStyle w:val="Normal"/>
        <w:jc w:val="both"/>
        <w:rPr>
          <w:rFonts w:cs="Calibri" w:cstheme="minorHAnsi"/>
        </w:rPr>
      </w:pPr>
      <w:r>
        <w:rPr>
          <w:rFonts w:cs="Calibri" w:cstheme="minorHAnsi"/>
        </w:rPr>
        <w:t>Distributed AI Hub jest dostępny globalnie w 280 centrach danych Equinix, co umożliwia przedsiębiorstwom wdrażanie spójnych modeli infrastruktury AI na całym świecie. Equinix będzie również obecny podczas konferencji NVIDIA GTC, gdzie na stoisku nr 1030 przedpremierowo zaprezentuje Distributed AI Hub.</w:t>
      </w:r>
    </w:p>
    <w:p>
      <w:pPr>
        <w:pStyle w:val="Normal"/>
        <w:jc w:val="both"/>
        <w:rPr>
          <w:rFonts w:cs="Calibri" w:cstheme="minorHAnsi"/>
          <w:b/>
          <w:bCs/>
        </w:rPr>
      </w:pPr>
      <w:r>
        <w:rPr>
          <w:b/>
        </w:rPr>
        <w:t>Dodatkowe materiały</w:t>
      </w:r>
    </w:p>
    <w:p>
      <w:pPr>
        <w:pStyle w:val="ListParagraph"/>
        <w:numPr>
          <w:ilvl w:val="0"/>
          <w:numId w:val="1"/>
        </w:numPr>
        <w:spacing w:before="0" w:after="0"/>
        <w:contextualSpacing/>
        <w:rPr>
          <w:rFonts w:eastAsia="ＭＳ 明朝" w:eastAsiaTheme="minorEastAsia"/>
          <w:color w:themeColor="text1" w:val="000000"/>
        </w:rPr>
      </w:pPr>
      <w:hyperlink r:id="rId3">
        <w:r>
          <w:rPr>
            <w:rStyle w:val="Hyperlink"/>
            <w:rFonts w:eastAsia="ＭＳ 明朝" w:eastAsiaTheme="minorEastAsia"/>
          </w:rPr>
          <w:t>Equinix i Palo Alto Networks nawiązują współpracę, aby stworzyć AI godną zaufania</w:t>
        </w:r>
      </w:hyperlink>
    </w:p>
    <w:p>
      <w:pPr>
        <w:pStyle w:val="ListParagraph"/>
        <w:numPr>
          <w:ilvl w:val="0"/>
          <w:numId w:val="1"/>
        </w:numPr>
        <w:spacing w:before="0" w:after="0"/>
        <w:contextualSpacing/>
        <w:rPr>
          <w:rFonts w:eastAsia="ＭＳ 明朝" w:eastAsiaTheme="minorEastAsia"/>
          <w:color w:themeColor="text1" w:val="000000"/>
        </w:rPr>
      </w:pPr>
      <w:r>
        <w:fldChar w:fldCharType="begin"/>
      </w:r>
      <w:r>
        <w:rPr>
          <w:rStyle w:val="Hyperlink"/>
          <w:rFonts w:eastAsia="ＭＳ 明朝"/>
        </w:rPr>
        <w:instrText xml:space="preserve"> HYPERLINK "https://www.equinix.com/product-solutions/ai" \l "dai"</w:instrText>
      </w:r>
      <w:r>
        <w:rPr>
          <w:rStyle w:val="Hyperlink"/>
          <w:rFonts w:eastAsia="ＭＳ 明朝"/>
        </w:rPr>
        <w:fldChar w:fldCharType="separate"/>
      </w:r>
      <w:r>
        <w:rPr>
          <w:rStyle w:val="Hyperlink"/>
          <w:rFonts w:eastAsia="ＭＳ 明朝" w:eastAsiaTheme="minorEastAsia"/>
        </w:rPr>
        <w:t>AI w modelu rozproszonym od Equinix</w:t>
      </w:r>
      <w:r>
        <w:rPr>
          <w:rStyle w:val="Hyperlink"/>
          <w:rFonts w:eastAsia="ＭＳ 明朝"/>
        </w:rPr>
        <w:fldChar w:fldCharType="end"/>
      </w:r>
      <w:r>
        <w:rPr>
          <w:rFonts w:eastAsia="ＭＳ 明朝" w:eastAsiaTheme="minorEastAsia"/>
          <w:color w:themeColor="text1" w:val="000000"/>
        </w:rPr>
        <w:t xml:space="preserve"> </w:t>
      </w:r>
    </w:p>
    <w:p>
      <w:pPr>
        <w:pStyle w:val="Normal"/>
        <w:rPr/>
      </w:pPr>
      <w:r>
        <w:rPr/>
      </w:r>
      <w:r>
        <w:br w:type="page"/>
      </w:r>
    </w:p>
    <w:p>
      <w:pPr>
        <w:pStyle w:val="Normal"/>
        <w:spacing w:before="0" w:after="160"/>
        <w:jc w:val="both"/>
        <w:rPr>
          <w:rFonts w:cs="Calibri" w:cstheme="minorHAnsi"/>
        </w:rPr>
      </w:pPr>
      <w:r>
        <w:rPr>
          <w:rFonts w:cs="Calibri" w:cstheme="minorHAnsi"/>
        </w:rPr>
      </w:r>
    </w:p>
    <w:p>
      <w:pPr>
        <w:pStyle w:val="Normal"/>
        <w:jc w:val="both"/>
        <w:rPr>
          <w:rFonts w:cs="Calibri" w:cstheme="minorHAnsi"/>
          <w:b/>
          <w:bCs/>
        </w:rPr>
      </w:pPr>
      <w:r>
        <w:rPr>
          <w:rFonts w:cs="Calibri" w:cstheme="minorHAnsi"/>
          <w:b/>
          <w:bCs/>
        </w:rPr>
        <w:t>O Equinix</w:t>
      </w:r>
    </w:p>
    <w:p>
      <w:pPr>
        <w:pStyle w:val="Normal"/>
        <w:jc w:val="both"/>
        <w:rPr>
          <w:rFonts w:cs="Calibri" w:cstheme="minorHAnsi"/>
        </w:rPr>
      </w:pPr>
      <w:hyperlink r:id="rId4" w:tgtFrame="_blank">
        <w:r>
          <w:rPr>
            <w:rStyle w:val="Hyperlink"/>
            <w:rFonts w:cs="Calibri" w:cstheme="minorHAnsi"/>
          </w:rPr>
          <w:t>Equinix</w:t>
        </w:r>
      </w:hyperlink>
      <w:r>
        <w:rPr>
          <w:rFonts w:cs="Calibri" w:cstheme="minorHAnsi"/>
        </w:rPr>
        <w:t>, Inc. (Nasdaq: EQIX) skraca drogę do nieograniczonej łączności w dowolnym miejscu na świecie. Jego infrastruktura cyfrowa, globalna sieć centrów danych oraz połączone ekosystemy wspierają innowacje, które poprawiają jakość pracy, życia i stanu naszej planety. Equinix łączy gospodarki, kraje, organizacje i społeczności, zapewniając płynne doświadczenia cyfrowe i najnowocześniejszą sztuczną inteligencję – szybko, wydajnie i wszędzie.</w:t>
      </w:r>
    </w:p>
    <w:p>
      <w:pPr>
        <w:pStyle w:val="Normal"/>
        <w:jc w:val="both"/>
        <w:rPr>
          <w:rStyle w:val="Hyperlink"/>
        </w:rPr>
      </w:pPr>
      <w:hyperlink r:id="rId5" w:tgtFrame="_blank">
        <w:r>
          <w:rPr/>
        </w:r>
      </w:hyperlink>
    </w:p>
    <w:p>
      <w:pPr>
        <w:pStyle w:val="Normal"/>
        <w:jc w:val="both"/>
        <w:rPr>
          <w:b/>
          <w:bCs/>
        </w:rPr>
      </w:pPr>
      <w:r>
        <w:rPr>
          <w:b/>
          <w:bCs/>
        </w:rPr>
        <w:t xml:space="preserve">Stwierdzenia dotyczące przyszłości </w:t>
      </w:r>
    </w:p>
    <w:p>
      <w:pPr>
        <w:pStyle w:val="Normal"/>
        <w:spacing w:before="0" w:after="160"/>
        <w:jc w:val="both"/>
        <w:rPr/>
      </w:pPr>
      <w:r>
        <w:rPr/>
        <w:t>Niniejsza informacja prasowa zawiera stwierdzenia dotyczące przyszłości, które wiążą się z ryzykiem i niepewnością. Rzeczywiste wyniki mogą znacznie różnić się od oczekiwań przedstawionych w takich stwierdzeniach dotyczących przyszłości. Czynniki, które mogą powodować takie różnice, obejmują między innymi ryzyko dla Państwa działalności i wyników operacyjnych związane z obecną inflacją; wahania kursów walutowych; wahania cen akcji; wzrost kosztów zakupu energii i ogólną zmienność na światowym rynku energii; wyzwania związane z budową i eksploatacją centrów danych IBX® i xScale®, w tym związane z pozyskaniem odpowiedniej energii i gruntów, a także wszelkie ograniczenia w łańcuchu dostaw lub wzrost kosztów dostaw; wyzwania związane z opracowywaniem, wdrażaniem i dostarczaniem produktów i rozwiązań Equinix; nieprzewidziane koszty lub trudności związane z integracją spółek, które nabyliśmy lub nabędziemy, z Equinix; brak znaczących przychodów od klientów w niedawno wybudowanych lub nabytych centrach danych; niepowodzenie w realizacji planowanych od czasu do czasu umów finansowych; konkurencja ze strony istniejących i nowych konkurentów; zdolność do generowania wystarczających przepływów pieniężnych lub uzyskania w inny sposób środków na spłatę nowego lub istniejącego zadłużenia; utrata lub spadek działalności naszych kluczowych klientów; ryzyko związane z opodatkowaniem naszej spółki jako REIT; ryzyko związane z dochodzeniami organów regulacyjnych lub sporami sądowymi; oraz inne ryzyka opisane od czasu do czasu w dokumentach Equinix składanych w Komisji Papierów Wartościowych i Giełd. W szczególności proszę zapoznać się z ostatnimi i przyszłymi raportami kwartalnymi i rocznymi Equinix złożonymi w Komisji Papierów Wartościowych i Giełd, których kopie są dostępne na żądanie w Equinix. Equinix nie przyjmuje żadnego zobowiązania do aktualizacji informacji dotyczących przyszłości zawartych w niniejszym komunikacie prasowym.</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40" w:right="144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Liberation Sans">
    <w:altName w:val="Arial"/>
    <w:charset w:val="ee" w:characterSet="windows-1250"/>
    <w:family w:val="swiss"/>
    <w:pitch w:val="variable"/>
  </w:font>
  <w:font w:name="Times New Roman">
    <w:charset w:val="ee" w:characterSet="windows-1250"/>
    <w:family w:val="roman"/>
    <w:pitch w:val="variable"/>
  </w:font>
  <w:font w:name="Calibri">
    <w:charset w:val="ee" w:characterSet="windows-125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15" w:type="dxa"/>
      <w:jc w:val="start"/>
      <w:tblInd w:w="0" w:type="dxa"/>
      <w:tblLayout w:type="fixed"/>
      <w:tblCellMar>
        <w:top w:w="0" w:type="dxa"/>
        <w:start w:w="108" w:type="dxa"/>
        <w:bottom w:w="0" w:type="dxa"/>
        <w:end w:w="108" w:type="dxa"/>
      </w:tblCellMar>
      <w:tblLook w:firstRow="1" w:noVBand="1" w:lastRow="0" w:firstColumn="1" w:lastColumn="0" w:noHBand="1" w:val="06a0"/>
    </w:tblPr>
    <w:tblGrid>
      <w:gridCol w:w="3005"/>
      <w:gridCol w:w="3005"/>
      <w:gridCol w:w="3005"/>
    </w:tblGrid>
    <w:tr>
      <w:trPr>
        <w:trHeight w:val="300" w:hRule="atLeast"/>
      </w:trPr>
      <w:tc>
        <w:tcPr>
          <w:tcW w:w="3005" w:type="dxa"/>
          <w:tcBorders/>
        </w:tcPr>
        <w:p>
          <w:pPr>
            <w:pStyle w:val="Header"/>
            <w:ind w:start="-115"/>
            <w:rPr/>
          </w:pPr>
          <w:r>
            <w:rPr/>
          </w:r>
        </w:p>
      </w:tc>
      <w:tc>
        <w:tcPr>
          <w:tcW w:w="3005" w:type="dxa"/>
          <w:tcBorders/>
        </w:tcPr>
        <w:p>
          <w:pPr>
            <w:pStyle w:val="Header"/>
            <w:jc w:val="center"/>
            <w:rPr/>
          </w:pPr>
          <w:r>
            <w:rPr/>
          </w:r>
        </w:p>
      </w:tc>
      <w:tc>
        <w:tcPr>
          <w:tcW w:w="3005" w:type="dxa"/>
          <w:tcBorders/>
        </w:tcPr>
        <w:p>
          <w:pPr>
            <w:pStyle w:val="Header"/>
            <w:ind w:end="-115"/>
            <w:jc w:val="end"/>
            <w:rPr/>
          </w:pPr>
          <w:r>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15" w:type="dxa"/>
      <w:jc w:val="start"/>
      <w:tblInd w:w="0" w:type="dxa"/>
      <w:tblLayout w:type="fixed"/>
      <w:tblCellMar>
        <w:top w:w="0" w:type="dxa"/>
        <w:start w:w="108" w:type="dxa"/>
        <w:bottom w:w="0" w:type="dxa"/>
        <w:end w:w="108" w:type="dxa"/>
      </w:tblCellMar>
      <w:tblLook w:firstRow="1" w:noVBand="1" w:lastRow="0" w:firstColumn="1" w:lastColumn="0" w:noHBand="1" w:val="06a0"/>
    </w:tblPr>
    <w:tblGrid>
      <w:gridCol w:w="3005"/>
      <w:gridCol w:w="3005"/>
      <w:gridCol w:w="3005"/>
    </w:tblGrid>
    <w:tr>
      <w:trPr>
        <w:trHeight w:val="300" w:hRule="atLeast"/>
      </w:trPr>
      <w:tc>
        <w:tcPr>
          <w:tcW w:w="3005" w:type="dxa"/>
          <w:tcBorders/>
        </w:tcPr>
        <w:p>
          <w:pPr>
            <w:pStyle w:val="Header"/>
            <w:ind w:start="-115"/>
            <w:rPr/>
          </w:pPr>
          <w:r>
            <w:rPr/>
          </w:r>
        </w:p>
      </w:tc>
      <w:tc>
        <w:tcPr>
          <w:tcW w:w="3005" w:type="dxa"/>
          <w:tcBorders/>
        </w:tcPr>
        <w:p>
          <w:pPr>
            <w:pStyle w:val="Header"/>
            <w:jc w:val="center"/>
            <w:rPr/>
          </w:pPr>
          <w:r>
            <w:rPr/>
          </w:r>
        </w:p>
      </w:tc>
      <w:tc>
        <w:tcPr>
          <w:tcW w:w="3005" w:type="dxa"/>
          <w:tcBorders/>
        </w:tcPr>
        <w:p>
          <w:pPr>
            <w:pStyle w:val="Header"/>
            <w:ind w:end="-115"/>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714375" cy="356870"/>
          <wp:effectExtent l="0" t="0" r="0" b="0"/>
          <wp:docPr id="1" name="drawing" title="EQ_Logo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title="EQ_Logo600"/>
                  <pic:cNvPicPr>
                    <a:picLocks noChangeAspect="1" noChangeArrowheads="1"/>
                  </pic:cNvPicPr>
                </pic:nvPicPr>
                <pic:blipFill>
                  <a:blip r:embed="rId1"/>
                  <a:stretch>
                    <a:fillRect/>
                  </a:stretch>
                </pic:blipFill>
                <pic:spPr bwMode="auto">
                  <a:xfrm>
                    <a:off x="0" y="0"/>
                    <a:ext cx="714375" cy="356870"/>
                  </a:xfrm>
                  <a:prstGeom prst="rect">
                    <a:avLst/>
                  </a:prstGeom>
                  <a:noFill/>
                </pic:spPr>
              </pic:pic>
            </a:graphicData>
          </a:graphic>
        </wp:inline>
      </w:drawing>
    </w:r>
    <w:r>
      <w:rPr/>
      <w:tab/>
    </w:r>
    <w:r>
      <w:rPr>
        <w:b/>
        <w:bCs/>
        <w:color w:val="FF0000"/>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714375" cy="356870"/>
          <wp:effectExtent l="0" t="0" r="0" b="0"/>
          <wp:docPr id="2" name="drawing" title="EQ_Logo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title="EQ_Logo600"/>
                  <pic:cNvPicPr>
                    <a:picLocks noChangeAspect="1" noChangeArrowheads="1"/>
                  </pic:cNvPicPr>
                </pic:nvPicPr>
                <pic:blipFill>
                  <a:blip r:embed="rId1"/>
                  <a:stretch>
                    <a:fillRect/>
                  </a:stretch>
                </pic:blipFill>
                <pic:spPr bwMode="auto">
                  <a:xfrm>
                    <a:off x="0" y="0"/>
                    <a:ext cx="714375" cy="356870"/>
                  </a:xfrm>
                  <a:prstGeom prst="rect">
                    <a:avLst/>
                  </a:prstGeom>
                  <a:noFill/>
                </pic:spPr>
              </pic:pic>
            </a:graphicData>
          </a:graphic>
        </wp:inline>
      </w:drawing>
    </w:r>
    <w:r>
      <w:rPr/>
      <w:tab/>
    </w:r>
    <w:r>
      <w:rPr>
        <w:b/>
        <w:bCs/>
        <w:color w:val="FF0000"/>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Arial"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4e5bcd"/>
    <w:rPr/>
  </w:style>
  <w:style w:type="character" w:styleId="FooterChar" w:customStyle="1">
    <w:name w:val="Footer Char"/>
    <w:basedOn w:val="DefaultParagraphFont"/>
    <w:uiPriority w:val="99"/>
    <w:qFormat/>
    <w:rsid w:val="004e5bcd"/>
    <w:rPr/>
  </w:style>
  <w:style w:type="character" w:styleId="Hyperlink">
    <w:name w:val="Hyperlink"/>
    <w:basedOn w:val="DefaultParagraphFont"/>
    <w:uiPriority w:val="99"/>
    <w:unhideWhenUsed/>
    <w:rsid w:val="003a0a4e"/>
    <w:rPr>
      <w:color w:themeColor="hyperlink" w:val="0563C1"/>
      <w:u w:val="single"/>
    </w:rPr>
  </w:style>
  <w:style w:type="character" w:styleId="UnresolvedMention">
    <w:name w:val="Unresolved Mention"/>
    <w:basedOn w:val="DefaultParagraphFont"/>
    <w:uiPriority w:val="99"/>
    <w:semiHidden/>
    <w:unhideWhenUsed/>
    <w:qFormat/>
    <w:rsid w:val="003a0a4e"/>
    <w:rPr>
      <w:color w:val="605E5C"/>
      <w:shd w:fill="E1DFDD" w:val="clear"/>
    </w:rPr>
  </w:style>
  <w:style w:type="character" w:styleId="CommentReference">
    <w:name w:val="annotation reference"/>
    <w:basedOn w:val="DefaultParagraphFont"/>
    <w:uiPriority w:val="99"/>
    <w:semiHidden/>
    <w:unhideWhenUsed/>
    <w:qFormat/>
    <w:rsid w:val="00ce30f4"/>
    <w:rPr>
      <w:sz w:val="16"/>
      <w:szCs w:val="16"/>
    </w:rPr>
  </w:style>
  <w:style w:type="character" w:styleId="CommentTextChar" w:customStyle="1">
    <w:name w:val="Comment Text Char"/>
    <w:basedOn w:val="DefaultParagraphFont"/>
    <w:link w:val="CommentText"/>
    <w:uiPriority w:val="99"/>
    <w:qFormat/>
    <w:rsid w:val="00ce30f4"/>
    <w:rPr>
      <w:sz w:val="20"/>
      <w:szCs w:val="20"/>
    </w:rPr>
  </w:style>
  <w:style w:type="character" w:styleId="CommentSubjectChar" w:customStyle="1">
    <w:name w:val="Comment Subject Char"/>
    <w:basedOn w:val="CommentTextChar"/>
    <w:link w:val="annotationsubject"/>
    <w:uiPriority w:val="99"/>
    <w:semiHidden/>
    <w:qFormat/>
    <w:rsid w:val="00ce30f4"/>
    <w:rPr>
      <w:b/>
      <w:bCs/>
      <w:sz w:val="20"/>
      <w:szCs w:val="20"/>
    </w:rPr>
  </w:style>
  <w:style w:type="character" w:styleId="normaltextrun" w:customStyle="1">
    <w:name w:val="normaltextrun"/>
    <w:basedOn w:val="DefaultParagraphFont"/>
    <w:qFormat/>
    <w:rsid w:val="003f238a"/>
    <w:rPr/>
  </w:style>
  <w:style w:type="character" w:styleId="eop" w:customStyle="1">
    <w:name w:val="eop"/>
    <w:basedOn w:val="DefaultParagraphFont"/>
    <w:qFormat/>
    <w:rsid w:val="003f238a"/>
    <w:rPr/>
  </w:style>
  <w:style w:type="character" w:styleId="FollowedHyperlink">
    <w:name w:val="FollowedHyperlink"/>
    <w:basedOn w:val="DefaultParagraphFont"/>
    <w:uiPriority w:val="99"/>
    <w:semiHidden/>
    <w:unhideWhenUsed/>
    <w:rsid w:val="00e95601"/>
    <w:rPr>
      <w:color w:themeColor="followedHyperlink" w:val="954F72"/>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Gwkaistopka">
    <w:name w:val="Główka i stopka"/>
    <w:basedOn w:val="Normal"/>
    <w:qFormat/>
    <w:pPr/>
    <w:rPr/>
  </w:style>
  <w:style w:type="paragraph" w:styleId="Header">
    <w:name w:val="header"/>
    <w:basedOn w:val="Normal"/>
    <w:link w:val="HeaderChar"/>
    <w:uiPriority w:val="99"/>
    <w:unhideWhenUsed/>
    <w:rsid w:val="004e5bcd"/>
    <w:pPr>
      <w:tabs>
        <w:tab w:val="clear" w:pos="708"/>
        <w:tab w:val="center" w:pos="4536" w:leader="none"/>
        <w:tab w:val="right" w:pos="9072" w:leader="none"/>
      </w:tabs>
      <w:spacing w:lineRule="auto" w:line="240" w:before="0" w:after="0"/>
    </w:pPr>
    <w:rPr/>
  </w:style>
  <w:style w:type="paragraph" w:styleId="Footer">
    <w:name w:val="footer"/>
    <w:basedOn w:val="Normal"/>
    <w:link w:val="FooterChar"/>
    <w:uiPriority w:val="99"/>
    <w:unhideWhenUsed/>
    <w:rsid w:val="004e5bcd"/>
    <w:pPr>
      <w:tabs>
        <w:tab w:val="clear" w:pos="708"/>
        <w:tab w:val="center" w:pos="4536" w:leader="none"/>
        <w:tab w:val="right" w:pos="9072" w:leader="none"/>
      </w:tabs>
      <w:spacing w:lineRule="auto" w:line="240" w:before="0" w:after="0"/>
    </w:pPr>
    <w:rPr/>
  </w:style>
  <w:style w:type="paragraph" w:styleId="CommentText">
    <w:name w:val="annotation text"/>
    <w:basedOn w:val="Normal"/>
    <w:link w:val="CommentTextChar"/>
    <w:uiPriority w:val="99"/>
    <w:unhideWhenUsed/>
    <w:rsid w:val="00ce30f4"/>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ce30f4"/>
    <w:pPr/>
    <w:rPr>
      <w:b/>
      <w:bCs/>
    </w:rPr>
  </w:style>
  <w:style w:type="paragraph" w:styleId="NormalWeb">
    <w:name w:val="Normal (Web)"/>
    <w:basedOn w:val="Normal"/>
    <w:uiPriority w:val="99"/>
    <w:semiHidden/>
    <w:unhideWhenUsed/>
    <w:qFormat/>
    <w:rsid w:val="00a51df8"/>
    <w:pPr/>
    <w:rPr>
      <w:rFonts w:ascii="Times New Roman" w:hAnsi="Times New Roman" w:cs="Times New Roman"/>
      <w:sz w:val="24"/>
      <w:szCs w:val="24"/>
    </w:rPr>
  </w:style>
  <w:style w:type="paragraph" w:styleId="ListParagraph">
    <w:name w:val="List Paragraph"/>
    <w:basedOn w:val="Normal"/>
    <w:uiPriority w:val="34"/>
    <w:qFormat/>
    <w:rsid w:val="00f527f5"/>
    <w:pPr>
      <w:spacing w:before="0" w:after="160"/>
      <w:ind w:start="720"/>
      <w:contextualSpacing/>
    </w:pPr>
    <w:rPr/>
  </w:style>
  <w:style w:type="paragraph" w:styleId="paragraph" w:customStyle="1">
    <w:name w:val="paragraph"/>
    <w:basedOn w:val="Normal"/>
    <w:qFormat/>
    <w:rsid w:val="003f238a"/>
    <w:pPr>
      <w:spacing w:lineRule="auto" w:line="240" w:beforeAutospacing="1" w:afterAutospacing="1"/>
    </w:pPr>
    <w:rPr>
      <w:rFonts w:ascii="Times New Roman" w:hAnsi="Times New Roman" w:eastAsia="Times New Roman" w:cs="Times New Roman"/>
      <w:sz w:val="24"/>
      <w:szCs w:val="24"/>
      <w:lang w:eastAsia="pl-PL"/>
    </w:rPr>
  </w:style>
  <w:style w:type="paragraph" w:styleId="Revision">
    <w:name w:val="Revision"/>
    <w:uiPriority w:val="99"/>
    <w:semiHidden/>
    <w:qFormat/>
    <w:rsid w:val="00d50dd8"/>
    <w:pPr>
      <w:widowControl/>
      <w:bidi w:val="0"/>
      <w:spacing w:lineRule="auto" w:line="240" w:before="0" w:after="0"/>
      <w:jc w:val="start"/>
    </w:pPr>
    <w:rPr>
      <w:rFonts w:ascii="Calibri" w:hAnsi="Calibri" w:eastAsia="Calibri" w:cs="Arial" w:asciiTheme="minorHAnsi" w:cstheme="minorBidi" w:eastAsiaTheme="minorHAnsi" w:hAnsiTheme="minorHAnsi"/>
      <w:color w:val="auto"/>
      <w:kern w:val="0"/>
      <w:sz w:val="22"/>
      <w:szCs w:val="22"/>
      <w:lang w:val="pl-PL" w:eastAsia="en-US" w:bidi="ar-SA"/>
    </w:rPr>
  </w:style>
  <w:style w:type="numbering" w:styleId="Bezlisty" w:default="1">
    <w:name w:val="Bez listy"/>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0548a4"/>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quinix.com/" TargetMode="External"/><Relationship Id="rId3" Type="http://schemas.openxmlformats.org/officeDocument/2006/relationships/hyperlink" Target="https://blog.equinix.com/blog/2026/03/11/equinix-and-palo-alto-networks-partner-to-enable-ai-you-can-trust/" TargetMode="External"/><Relationship Id="rId4" Type="http://schemas.openxmlformats.org/officeDocument/2006/relationships/hyperlink" Target="https://www.equinix.com/" TargetMode="External"/><Relationship Id="rId5" Type="http://schemas.openxmlformats.org/officeDocument/2006/relationships/hyperlink" Target="mailto:press@equinix.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0d4ac6-2b0a-4723-b16b-9d8d14b8f059">
      <Terms xmlns="http://schemas.microsoft.com/office/infopath/2007/PartnerControls"/>
    </lcf76f155ced4ddcb4097134ff3c332f>
    <TaxCatchAll xmlns="d822bda6-60c0-42dc-b8fd-df057b7b151c" xsi:nil="true"/>
    <_dlc_DocId xmlns="d822bda6-60c0-42dc-b8fd-df057b7b151c">V7F5YAX2SHR2-1482582051-24656</_dlc_DocId>
    <_dlc_DocIdUrl xmlns="d822bda6-60c0-42dc-b8fd-df057b7b151c">
      <Url>https://mondaypr.sharepoint.com/sites/DzialCPA/_layouts/15/DocIdRedir.aspx?ID=V7F5YAX2SHR2-1482582051-24656</Url>
      <Description>V7F5YAX2SHR2-1482582051-24656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F960EA00DF3F42BE44870222E26A7A" ma:contentTypeVersion="16" ma:contentTypeDescription="Utwórz nowy dokument." ma:contentTypeScope="" ma:versionID="ebbbd8c0bd0f27733beb022b0eed7b8b">
  <xsd:schema xmlns:xsd="http://www.w3.org/2001/XMLSchema" xmlns:xs="http://www.w3.org/2001/XMLSchema" xmlns:p="http://schemas.microsoft.com/office/2006/metadata/properties" xmlns:ns2="d822bda6-60c0-42dc-b8fd-df057b7b151c" xmlns:ns3="e60d4ac6-2b0a-4723-b16b-9d8d14b8f059" targetNamespace="http://schemas.microsoft.com/office/2006/metadata/properties" ma:root="true" ma:fieldsID="624bcde46ff5b0e347d6f17ac434d50d" ns2:_="" ns3:_="">
    <xsd:import namespace="d822bda6-60c0-42dc-b8fd-df057b7b151c"/>
    <xsd:import namespace="e60d4ac6-2b0a-4723-b16b-9d8d14b8f05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2bda6-60c0-42dc-b8fd-df057b7b151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dexed="true"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41e83d47-0992-4165-ae54-efe267d9adb0}" ma:internalName="TaxCatchAll" ma:showField="CatchAllData" ma:web="d822bda6-60c0-42dc-b8fd-df057b7b151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d4ac6-2b0a-4723-b16b-9d8d14b8f0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d72649fd-b21d-4f68-a2d6-ede9226ff28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2644ED-BA44-43E2-9FF0-DFA1821ED446}">
  <ds:schemaRefs>
    <ds:schemaRef ds:uri="http://schemas.microsoft.com/office/2006/metadata/properties"/>
    <ds:schemaRef ds:uri="http://schemas.microsoft.com/office/infopath/2007/PartnerControls"/>
    <ds:schemaRef ds:uri="e60d4ac6-2b0a-4723-b16b-9d8d14b8f059"/>
    <ds:schemaRef ds:uri="d822bda6-60c0-42dc-b8fd-df057b7b151c"/>
  </ds:schemaRefs>
</ds:datastoreItem>
</file>

<file path=customXml/itemProps2.xml><?xml version="1.0" encoding="utf-8"?>
<ds:datastoreItem xmlns:ds="http://schemas.openxmlformats.org/officeDocument/2006/customXml" ds:itemID="{3AEEF5B4-8D8B-46D4-B666-EAFAAEC93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2bda6-60c0-42dc-b8fd-df057b7b151c"/>
    <ds:schemaRef ds:uri="e60d4ac6-2b0a-4723-b16b-9d8d14b8f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09971-4450-4D82-A486-0DAE45CA136E}">
  <ds:schemaRefs>
    <ds:schemaRef ds:uri="http://schemas.microsoft.com/sharepoint/v3/contenttype/forms"/>
  </ds:schemaRefs>
</ds:datastoreItem>
</file>

<file path=customXml/itemProps4.xml><?xml version="1.0" encoding="utf-8"?>
<ds:datastoreItem xmlns:ds="http://schemas.openxmlformats.org/officeDocument/2006/customXml" ds:itemID="{48B508F5-330A-4AAE-8F8B-D6534000DE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LibreOffice/25.8.5.2$Windows_X86_64 LibreOffice_project/9c8b85f387cc00a89945a79c9e6239f32e450ac2</Application>
  <AppVersion>15.0000</AppVersion>
  <DocSecurity>4</DocSecurity>
  <Pages>3</Pages>
  <Words>1168</Words>
  <Characters>7994</Characters>
  <CharactersWithSpaces>9265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2026-03-11T16:59:00Z</dcterms:created>
  <dc:creator>Karolina Śliwka</dc:creator>
  <dc:description/>
  <dc:language>pl-PL</dc:language>
  <cp:lastModifiedBy/>
  <dcterms:modified xsi:type="dcterms:W3CDTF">2026-03-14T12:10:11Z</dcterms:modified>
  <cp:revision>186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0x010100A2F960EA00DF3F42BE44870222E26A7A</vt:lpwstr>
  </property>
  <property fmtid="{D5CDD505-2E9C-101B-9397-08002B2CF9AE}" pid="3" name="GrammarlyDocumentId">
    <vt:lpwstr>488b1814-7055-4cbe-96bf-fa0801f00bad</vt:lpwstr>
  </property>
  <property fmtid="{D5CDD505-2E9C-101B-9397-08002B2CF9AE}" pid="4" name="MediaServiceImageTags">
    <vt:lpwstr/>
  </property>
  <property fmtid="{D5CDD505-2E9C-101B-9397-08002B2CF9AE}" pid="5" name="_dlc_DocIdItemGuid">
    <vt:lpwstr>9c36b38c-c7cd-4e3e-b76b-7ee35243c12f</vt:lpwstr>
  </property>
</Properties>
</file>