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center"/>
        <w:rPr/>
      </w:pPr>
      <w:r>
        <w:rPr>
          <w:rFonts w:eastAsia="Arial" w:cs="Arial" w:ascii="Arial" w:hAnsi="Arial"/>
          <w:b/>
          <w:bCs/>
          <w:sz w:val="28"/>
          <w:szCs w:val="28"/>
        </w:rPr>
        <w:t>2026 rokiem przełomu dla branży telekomunikacyjnej. Wspólna chmura fundamentem modernizacji sieci i wdrażania AI</w:t>
      </w:r>
    </w:p>
    <w:p>
      <w:pPr>
        <w:pStyle w:val="Normal"/>
        <w:spacing w:lineRule="auto" w:line="276"/>
        <w:jc w:val="both"/>
        <w:rPr/>
      </w:pPr>
      <w:r>
        <w:rPr>
          <w:rFonts w:eastAsia="Arial" w:cs="Arial" w:ascii="Arial" w:hAnsi="Arial"/>
          <w:i/>
          <w:iCs/>
          <w:sz w:val="20"/>
          <w:szCs w:val="20"/>
        </w:rPr>
        <w:t>Fran Heeran, wiceprezes i dyrektor generalny Red Hat ds. globalnego sektora telekomunikacyjnego</w:t>
      </w:r>
    </w:p>
    <w:p>
      <w:pPr>
        <w:pStyle w:val="Normal"/>
        <w:spacing w:lineRule="auto" w:line="276"/>
        <w:jc w:val="both"/>
        <w:rPr/>
      </w:pPr>
      <w:r>
        <w:rPr>
          <w:rFonts w:eastAsia="Arial" w:cs="Arial" w:ascii="Arial" w:hAnsi="Arial"/>
          <w:sz w:val="20"/>
          <w:szCs w:val="20"/>
        </w:rPr>
        <w:t>Firmy z branży telekomunikacyjnej od lat tworzą przełomowe rozwiązania technologiczne, jednak historycznie nie zawsze potrafiły skutecznie przekładać ich zastosowanie na poprawę wyniku finansowego. Przez długi czas w branży utrzymywała się wyraźna luka między tempem wdrażania nowych innowacji i ich rzeczywistym wpływem na wartość biznesową. W 2026 roku rozdźwięk zaczyna się zmniejszać, a kluczowym elementem tej zmiany staje się wspólna chmura telekomunikacyjna jako jednolity fundament działania sieci. To na niej operatorzy mogą oprzeć modernizację infrastruktury, rozwój sztucznej inteligencji oraz automatyzację operacji sieciowych.</w:t>
      </w:r>
    </w:p>
    <w:p>
      <w:pPr>
        <w:pStyle w:val="Normal"/>
        <w:spacing w:lineRule="auto" w:line="276"/>
        <w:jc w:val="both"/>
        <w:rPr/>
      </w:pPr>
      <w:r>
        <w:rPr>
          <w:rFonts w:eastAsia="Arial" w:cs="Arial" w:ascii="Arial" w:hAnsi="Arial"/>
          <w:sz w:val="20"/>
          <w:szCs w:val="20"/>
        </w:rPr>
        <w:t>Przez lata infrastruktura operatorów była budowana z wykorzystaniem wielu odrębnych środowisk technologicznych różnych dostawców, a także na bazie własnych narzędzi do zarządzania oraz specyficznych dla każdej organizacji procesów utrzymania systemów i wymagań sprzętowych. Doprowadziło to do powstania złożonych, rozproszonych środowisk, które trudno było skalować, a jeszcze trudniej utrzymać w nowoczesnej, bezpiecznej architekturze. Fragmentacja stała się obciążeniem dla kosztów inwestycyjnych (CapEx) i operacyjnych (OpEx) przedsiębiorstw telekomunikacyjnych, ograniczając efektywność działania.</w:t>
      </w:r>
    </w:p>
    <w:p>
      <w:pPr>
        <w:pStyle w:val="Normal"/>
        <w:spacing w:lineRule="auto" w:line="276"/>
        <w:jc w:val="both"/>
        <w:rPr/>
      </w:pPr>
      <w:r>
        <w:rPr>
          <w:rFonts w:eastAsia="Arial" w:cs="Arial" w:ascii="Arial" w:hAnsi="Arial"/>
          <w:b/>
          <w:bCs/>
          <w:sz w:val="20"/>
          <w:szCs w:val="20"/>
        </w:rPr>
        <w:t>Jedna platforma bazą dla wielu zastosowań</w:t>
      </w:r>
    </w:p>
    <w:p>
      <w:pPr>
        <w:pStyle w:val="Normal"/>
        <w:spacing w:lineRule="auto" w:line="276"/>
        <w:jc w:val="both"/>
        <w:rPr/>
      </w:pPr>
      <w:r>
        <w:rPr>
          <w:rFonts w:eastAsia="Arial" w:cs="Arial" w:ascii="Arial" w:hAnsi="Arial"/>
          <w:sz w:val="20"/>
          <w:szCs w:val="20"/>
        </w:rPr>
        <w:t>Odpowiedzią na te wyzwania jest koncepcja wspólnej chmury telekomunikacyjnej. Oznacza ona jedną platformę, która obejmuje całe środowisko IT –</w:t>
      </w:r>
      <w:r>
        <w:rPr>
          <w:rFonts w:eastAsia="Aptos" w:cs="Aptos" w:ascii="Aptos" w:hAnsi="Aptos"/>
        </w:rPr>
        <w:t xml:space="preserve"> </w:t>
      </w:r>
      <w:r>
        <w:rPr>
          <w:rFonts w:eastAsia="Arial" w:cs="Arial" w:ascii="Arial" w:hAnsi="Arial"/>
          <w:sz w:val="20"/>
          <w:szCs w:val="20"/>
        </w:rPr>
        <w:t>od głównego centrum przetwarzania danych aż po rozproszoną infrastrukturę na brzegu sieci, zarówno w chmurze prywatnej, jak i publicznej. Standaryzacja środowiska przy zachowaniu elastyczności pozwala przejść od administrowania „wyspami” technologicznymi do spójnego zarządzania siecią. To nie tylko zmiana architektury, ale fundament rentownego wzrostu oraz praktycznej efektywności operacyjnej. Taka platforma umożliwia bezpieczną modernizację bez całkowitego usuwania dotychczasowej infrastruktury i zastępowania jej nową w jednym kroku (podejście „rip and replace”). Operatorzy mogą uruchamiać dotychczasowe maszyny wirtualne obok nowoczesnych, rozwijanych z myślą o chmurze, kontenerów w ramach jednego środowiska. Ogranicza to ryzyko związane z migracją kluczowych usług sieciowych i pozwala w pełni wykorzystać istniejącą infrastrukturę.</w:t>
      </w:r>
    </w:p>
    <w:p>
      <w:pPr>
        <w:pStyle w:val="Normal"/>
        <w:spacing w:lineRule="auto" w:line="276"/>
        <w:jc w:val="both"/>
        <w:rPr/>
      </w:pPr>
      <w:r>
        <w:rPr>
          <w:rFonts w:eastAsia="Arial" w:cs="Arial" w:ascii="Arial" w:hAnsi="Arial"/>
          <w:sz w:val="20"/>
          <w:szCs w:val="20"/>
        </w:rPr>
        <w:t xml:space="preserve">Wspólna platforma jest również warunkiem wdrażania sztucznej inteligencji na dużą skalę. Praktyczne wykorzystanie AI w całym przedsiębiorstwie jest niezwykle trudne, jeśli systemy IT funkcjonują w wielu silosach infrastrukturalnych. Celem operatorów powinno być przejście od reaktywnego rozwiązywania problemów do proaktywnego, inteligentnego zarządzania siecią – takiego, które potrafi przewidywać awarie i umożliwia szybkie wdrażanie nowych usług, od wykrywania nadużyć po spersonalizowane oferty dla partnerów biznesowych. </w:t>
      </w:r>
    </w:p>
    <w:p>
      <w:pPr>
        <w:pStyle w:val="Normal"/>
        <w:spacing w:lineRule="auto" w:line="276"/>
        <w:jc w:val="both"/>
        <w:rPr/>
      </w:pPr>
      <w:r>
        <w:rPr>
          <w:rFonts w:eastAsia="Arial" w:cs="Arial" w:ascii="Arial" w:hAnsi="Arial"/>
          <w:b/>
          <w:bCs/>
          <w:sz w:val="20"/>
          <w:szCs w:val="20"/>
        </w:rPr>
        <w:t>Suwerenność cyfrowa i kontrola nad danymi</w:t>
      </w:r>
    </w:p>
    <w:p>
      <w:pPr>
        <w:pStyle w:val="Normal"/>
        <w:spacing w:lineRule="auto" w:line="276"/>
        <w:jc w:val="both"/>
        <w:rPr/>
      </w:pPr>
      <w:r>
        <w:rPr>
          <w:rFonts w:eastAsia="Arial" w:cs="Arial" w:ascii="Arial" w:hAnsi="Arial"/>
          <w:sz w:val="20"/>
          <w:szCs w:val="20"/>
        </w:rPr>
        <w:t>Wraz z tym, jak sztuczna inteligencja staje się motorem napędowym sektora telekomunikacji, dane wykorzystywane przez systemy AI stają się najcenniejszym zasobem operatorów. W tym kontekście ich ochrona i zapewnienie suwerenności cyfrowej przestają być hasłem marketingowym, a stają się wymogiem biznesowym i operacyjnym. Przedsiębiorstwa potrzebują przejrzystości oraz realnej kontroli nad tym, gdzie i w jaki sposób przetwarzane są informacje. Dotyczy to zarówno budowy i zarządzania własnymi środowiskami AI, jak i możliwości zapewnienia, że dane są przechowywane i używane zgodnie z obowiązującymi w danej lokalizacji przepisami prawnymi.</w:t>
      </w:r>
    </w:p>
    <w:p>
      <w:pPr>
        <w:pStyle w:val="Normal"/>
        <w:spacing w:lineRule="auto" w:line="276"/>
        <w:jc w:val="both"/>
        <w:rPr/>
      </w:pPr>
      <w:r>
        <w:rPr>
          <w:rFonts w:eastAsia="Arial" w:cs="Arial" w:ascii="Arial" w:hAnsi="Arial"/>
          <w:sz w:val="20"/>
          <w:szCs w:val="20"/>
        </w:rPr>
        <w:t xml:space="preserve">W kontekście suwerenności technologicznej kluczowe znaczenie ma oddzielenie oprogramowania od sprzętu. Podejście to daje operatorom większą swobodę wyboru strategii technologicznej i ogranicza uzależnienie od kierunku rozwoju pojedynczego dostawcy. Taka elastyczność przekłada się bezpośrednio na kontrolę nad infrastrukturą i danymi, a w erze sztucznej inteligencji to właśnie kontrola staje się nową walutą konkurencyjności. </w:t>
      </w:r>
    </w:p>
    <w:p>
      <w:pPr>
        <w:pStyle w:val="Normal"/>
        <w:spacing w:lineRule="auto" w:line="276"/>
        <w:jc w:val="both"/>
        <w:rPr>
          <w:rFonts w:ascii="Arial" w:hAnsi="Arial" w:eastAsia="Arial" w:cs="Arial"/>
          <w:sz w:val="20"/>
          <w:szCs w:val="20"/>
        </w:rPr>
      </w:pPr>
      <w:r>
        <w:rPr>
          <w:rFonts w:eastAsia="Arial" w:cs="Arial" w:ascii="Arial" w:hAnsi="Arial"/>
          <w:sz w:val="20"/>
          <w:szCs w:val="20"/>
        </w:rPr>
        <w:t>Równolegle zmienia się sposób zarządzania siecią. Historycznie wdrożenie nowej usługi trwało miesiące i wymagało wielu działań wykonywanych ręcznie. Wspólna, zautomatyzowana platforma pozwala skrócić ten proces i zwiększyć zwinność działania. W środowisku, w którym potrzeby przedsiębiorstw zmieniają się dynamicznie, sieć musi być zdolna do szybkiej adaptacji i sprawnego uruchamiania nowych usług. Rok 2026 może być momentem, w którym branża telekomunikacyjna ostatecznie przejdzie od etapu eksperymentów technologicznych do konsekwentnego budowania wartości biznesowej. Fundamentem tej zmiany będzie wspólna chmura, wspierana przez rozwój AI oraz rosnące znaczenie suwerenności cyfrowej, pozwalającej operatorom zachować kontrolę nad strategicznymi zasobami.</w:t>
      </w:r>
    </w:p>
    <w:p>
      <w:pPr>
        <w:pStyle w:val="Normal"/>
        <w:spacing w:lineRule="auto" w:line="276" w:before="0" w:after="160"/>
        <w:jc w:val="both"/>
        <w:rPr/>
      </w:pPr>
      <w:r>
        <w:rPr/>
      </w:r>
    </w:p>
    <w:sectPr>
      <w:headerReference w:type="even" r:id="rId2"/>
      <w:headerReference w:type="default" r:id="rId3"/>
      <w:headerReference w:type="first" r:id="rId4"/>
      <w:type w:val="nextPage"/>
      <w:pgSz w:w="11906" w:h="16838"/>
      <w:pgMar w:left="1440" w:right="1440" w:gutter="0" w:header="708"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Aptos">
    <w:charset w:val="ee" w:characterSet="windows-1250"/>
    <w:family w:val="roman"/>
    <w:pitch w:val="variable"/>
  </w:font>
  <w:font w:name="Liberation Sans">
    <w:altName w:val="Arial"/>
    <w:charset w:val="ee" w:characterSet="windows-1250"/>
    <w:family w:val="swiss"/>
    <w:pitch w:val="variable"/>
  </w:font>
  <w:font w:name="Arial">
    <w:charset w:val="ee" w:characterSet="windows-1250"/>
    <w:family w:val="swiss"/>
    <w:pitch w:val="variable"/>
  </w:font>
  <w:font w:name="Aptos">
    <w:charset w:val="ee" w:characterSet="windows-125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drawing>
        <wp:inline distT="0" distB="0" distL="0" distR="0">
          <wp:extent cx="2057400" cy="647700"/>
          <wp:effectExtent l="0" t="0" r="0" b="0"/>
          <wp:docPr id="1" name="drawing" title="Obraz zawierający Czcionka, logo, Grafika, kapelusz&#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title="Obraz zawierający Czcionka, logo, Grafika, kapelusz&#10;&#10;Opis wygenerowany automatycznie"/>
                  <pic:cNvPicPr>
                    <a:picLocks noChangeAspect="1" noChangeArrowheads="1"/>
                  </pic:cNvPicPr>
                </pic:nvPicPr>
                <pic:blipFill>
                  <a:blip r:embed="rId1"/>
                  <a:stretch>
                    <a:fillRect/>
                  </a:stretch>
                </pic:blipFill>
                <pic:spPr bwMode="auto">
                  <a:xfrm>
                    <a:off x="0" y="0"/>
                    <a:ext cx="2057400" cy="647700"/>
                  </a:xfrm>
                  <a:prstGeom prst="rect">
                    <a:avLst/>
                  </a:prstGeom>
                  <a:noFill/>
                </pic:spPr>
              </pic:pic>
            </a:graphicData>
          </a:graphic>
        </wp:inline>
      </w:drawing>
    </w:r>
  </w:p>
  <w:p>
    <w:pPr>
      <w:pStyle w:val="Header"/>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drawing>
        <wp:inline distT="0" distB="0" distL="0" distR="0">
          <wp:extent cx="2057400" cy="647700"/>
          <wp:effectExtent l="0" t="0" r="0" b="0"/>
          <wp:docPr id="2" name="drawing" title="Obraz zawierający Czcionka, logo, Grafika, kapelusz&#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title="Obraz zawierający Czcionka, logo, Grafika, kapelusz&#10;&#10;Opis wygenerowany automatycznie"/>
                  <pic:cNvPicPr>
                    <a:picLocks noChangeAspect="1" noChangeArrowheads="1"/>
                  </pic:cNvPicPr>
                </pic:nvPicPr>
                <pic:blipFill>
                  <a:blip r:embed="rId1"/>
                  <a:stretch>
                    <a:fillRect/>
                  </a:stretch>
                </pic:blipFill>
                <pic:spPr bwMode="auto">
                  <a:xfrm>
                    <a:off x="0" y="0"/>
                    <a:ext cx="2057400" cy="647700"/>
                  </a:xfrm>
                  <a:prstGeom prst="rect">
                    <a:avLst/>
                  </a:prstGeom>
                  <a:noFill/>
                </pic:spPr>
              </pic:pic>
            </a:graphicData>
          </a:graphic>
        </wp:inline>
      </w:drawing>
    </w:r>
  </w:p>
  <w:p>
    <w:pPr>
      <w:pStyle w:val="Header"/>
      <w:jc w:val="end"/>
      <w:rPr/>
    </w:pPr>
    <w:r>
      <w:rPr/>
    </w:r>
  </w:p>
</w:hdr>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sz w:val="24"/>
        <w:szCs w:val="24"/>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8" w:before="0" w:after="160"/>
      <w:jc w:val="start"/>
    </w:pPr>
    <w:rPr>
      <w:rFonts w:ascii="Aptos" w:hAnsi="Aptos" w:eastAsia="Aptos" w:cs="" w:asciiTheme="minorHAnsi" w:cstheme="minorBidi" w:eastAsiaTheme="minorHAnsi" w:hAnsiTheme="minorHAnsi"/>
      <w:color w:val="auto"/>
      <w:kern w:val="0"/>
      <w:sz w:val="24"/>
      <w:szCs w:val="24"/>
      <w:lang w:val="pl-PL" w:eastAsia="en-US" w:bidi="ar-SA"/>
    </w:rPr>
  </w:style>
  <w:style w:type="character" w:styleId="DefaultParagraphFont" w:default="1">
    <w:name w:val="Default Paragraph Font"/>
    <w:uiPriority w:val="1"/>
    <w:semiHidden/>
    <w:unhideWhenUsed/>
    <w:qFormat/>
    <w:rPr/>
  </w:style>
  <w:style w:type="character" w:styleId="normaltextrun" w:customStyle="1">
    <w:name w:val="normaltextrun"/>
    <w:basedOn w:val="DefaultParagraphFont"/>
    <w:uiPriority w:val="1"/>
    <w:qFormat/>
    <w:rsid w:val="00711462"/>
    <w:rPr>
      <w:rFonts w:ascii="Aptos" w:hAnsi="Aptos" w:eastAsia="" w:cs="" w:asciiTheme="minorHAnsi" w:cstheme="minorBidi" w:eastAsiaTheme="minorEastAsia" w:hAnsiTheme="minorHAnsi"/>
      <w:sz w:val="24"/>
      <w:szCs w:val="24"/>
    </w:rPr>
  </w:style>
  <w:style w:type="character" w:styleId="NagwekZnak" w:customStyle="1">
    <w:name w:val="Nagłówek Znak"/>
    <w:basedOn w:val="DefaultParagraphFont"/>
    <w:uiPriority w:val="99"/>
    <w:qFormat/>
    <w:rsid w:val="001b4f87"/>
    <w:rPr/>
  </w:style>
  <w:style w:type="character" w:styleId="StopkaZnak" w:customStyle="1">
    <w:name w:val="Stopka Znak"/>
    <w:basedOn w:val="DefaultParagraphFont"/>
    <w:uiPriority w:val="99"/>
    <w:qFormat/>
    <w:rsid w:val="001b4f87"/>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Gwkaistopka">
    <w:name w:val="Główka i stopka"/>
    <w:basedOn w:val="Normal"/>
    <w:qFormat/>
    <w:pPr/>
    <w:rPr/>
  </w:style>
  <w:style w:type="paragraph" w:styleId="Header">
    <w:name w:val="header"/>
    <w:basedOn w:val="Normal"/>
    <w:link w:val="NagwekZnak"/>
    <w:uiPriority w:val="99"/>
    <w:unhideWhenUsed/>
    <w:rsid w:val="001b4f87"/>
    <w:pPr>
      <w:tabs>
        <w:tab w:val="clear" w:pos="708"/>
        <w:tab w:val="center" w:pos="4536" w:leader="none"/>
        <w:tab w:val="right" w:pos="9072" w:leader="none"/>
      </w:tabs>
      <w:spacing w:lineRule="auto" w:line="240" w:before="0" w:after="0"/>
    </w:pPr>
    <w:rPr/>
  </w:style>
  <w:style w:type="paragraph" w:styleId="Footer">
    <w:name w:val="footer"/>
    <w:basedOn w:val="Normal"/>
    <w:link w:val="StopkaZnak"/>
    <w:uiPriority w:val="99"/>
    <w:unhideWhenUsed/>
    <w:rsid w:val="001b4f87"/>
    <w:pPr>
      <w:tabs>
        <w:tab w:val="clear" w:pos="708"/>
        <w:tab w:val="center" w:pos="4536" w:leader="none"/>
        <w:tab w:val="right" w:pos="9072" w:leader="none"/>
      </w:tabs>
      <w:spacing w:lineRule="auto" w:line="240" w:before="0" w:after="0"/>
    </w:pPr>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711462"/>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b4db15-98c3-45b4-bb4a-c2652fc1a36b">
      <Terms xmlns="http://schemas.microsoft.com/office/infopath/2007/PartnerControls"/>
    </lcf76f155ced4ddcb4097134ff3c332f>
    <TaxCatchAll xmlns="caac8740-0f4f-4dbc-8c9c-c59d41a3869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3F7D8008D65CF45A1C8463E2D21EF63" ma:contentTypeVersion="14" ma:contentTypeDescription="Utwórz nowy dokument." ma:contentTypeScope="" ma:versionID="2e4c360e71a3cdf27ee6712de660904e">
  <xsd:schema xmlns:xsd="http://www.w3.org/2001/XMLSchema" xmlns:xs="http://www.w3.org/2001/XMLSchema" xmlns:p="http://schemas.microsoft.com/office/2006/metadata/properties" xmlns:ns2="2cb4db15-98c3-45b4-bb4a-c2652fc1a36b" xmlns:ns3="caac8740-0f4f-4dbc-8c9c-c59d41a38691" targetNamespace="http://schemas.microsoft.com/office/2006/metadata/properties" ma:root="true" ma:fieldsID="e9eb3a675ad12eece7eccb3a4f1d34cc" ns2:_="" ns3:_="">
    <xsd:import namespace="2cb4db15-98c3-45b4-bb4a-c2652fc1a36b"/>
    <xsd:import namespace="caac8740-0f4f-4dbc-8c9c-c59d41a386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4db15-98c3-45b4-bb4a-c2652fc1a3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20421c0d-218e-4a6c-a7e0-f38f9e32bf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ac8740-0f4f-4dbc-8c9c-c59d41a38691" elementFormDefault="qualified">
    <xsd:import namespace="http://schemas.microsoft.com/office/2006/documentManagement/types"/>
    <xsd:import namespace="http://schemas.microsoft.com/office/infopath/2007/PartnerControls"/>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Udostępnione dla — szczegóły" ma:internalName="SharedWithDetails" ma:readOnly="true">
      <xsd:simpleType>
        <xsd:restriction base="dms:Note">
          <xsd:maxLength value="255"/>
        </xsd:restriction>
      </xsd:simpleType>
    </xsd:element>
    <xsd:element name="TaxCatchAll" ma:index="18" nillable="true" ma:displayName="Taxonomy Catch All Column" ma:hidden="true" ma:list="{db9a9885-d36f-49c1-a878-f2f9b3d1a147}" ma:internalName="TaxCatchAll" ma:showField="CatchAllData" ma:web="caac8740-0f4f-4dbc-8c9c-c59d41a386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ECE7F9-D189-4AE6-A7C4-5674B18DD488}">
  <ds:schemaRefs>
    <ds:schemaRef ds:uri="http://schemas.microsoft.com/office/2006/metadata/properties"/>
    <ds:schemaRef ds:uri="http://schemas.microsoft.com/office/infopath/2007/PartnerControls"/>
    <ds:schemaRef ds:uri="2cb4db15-98c3-45b4-bb4a-c2652fc1a36b"/>
    <ds:schemaRef ds:uri="caac8740-0f4f-4dbc-8c9c-c59d41a38691"/>
  </ds:schemaRefs>
</ds:datastoreItem>
</file>

<file path=customXml/itemProps2.xml><?xml version="1.0" encoding="utf-8"?>
<ds:datastoreItem xmlns:ds="http://schemas.openxmlformats.org/officeDocument/2006/customXml" ds:itemID="{C2583E61-98B6-43EA-BE74-DD31D827C362}">
  <ds:schemaRefs>
    <ds:schemaRef ds:uri="http://schemas.microsoft.com/sharepoint/v3/contenttype/forms"/>
  </ds:schemaRefs>
</ds:datastoreItem>
</file>

<file path=customXml/itemProps3.xml><?xml version="1.0" encoding="utf-8"?>
<ds:datastoreItem xmlns:ds="http://schemas.openxmlformats.org/officeDocument/2006/customXml" ds:itemID="{79188F61-A454-4BB4-B738-5B3E7C128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4db15-98c3-45b4-bb4a-c2652fc1a36b"/>
    <ds:schemaRef ds:uri="caac8740-0f4f-4dbc-8c9c-c59d41a386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Application>LibreOffice/25.8.5.2$Windows_X86_64 LibreOffice_project/9c8b85f387cc00a89945a79c9e6239f32e450ac2</Application>
  <AppVersion>15.0000</AppVersion>
  <Pages>2</Pages>
  <Words>598</Words>
  <Characters>4280</Characters>
  <CharactersWithSpaces>4871</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2026-03-16T12:01:00Z</dcterms:created>
  <dc:creator>Jakub Garbol</dc:creator>
  <dc:description/>
  <dc:language>pl-PL</dc:language>
  <cp:lastModifiedBy/>
  <dcterms:modified xsi:type="dcterms:W3CDTF">2026-03-24T14:58:12Z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0x010100E3F7D8008D65CF45A1C8463E2D21EF63</vt:lpwstr>
  </property>
  <property fmtid="{D5CDD505-2E9C-101B-9397-08002B2CF9AE}" pid="3" name="MediaServiceImageTags">
    <vt:lpwstr/>
  </property>
</Properties>
</file>