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</w:rPr>
        <w:t>Agentowa sztuczna inteligencja zmienia sieci – czas na modernizację</w:t>
      </w:r>
      <w:r>
        <w:rPr>
          <w:rFonts w:cs="Calibri" w:ascii="Calibri" w:hAnsi="Calibri"/>
          <w:sz w:val="22"/>
          <w:szCs w:val="22"/>
        </w:rPr>
        <w:br/>
      </w:r>
      <w:r>
        <w:rPr>
          <w:rFonts w:cs="Calibri" w:ascii="Calibri" w:hAnsi="Calibri"/>
          <w:i/>
          <w:iCs/>
          <w:sz w:val="22"/>
          <w:szCs w:val="22"/>
        </w:rPr>
        <w:t>Komentarz ekspercki autorstwa: Enrico Mercadante, VP, EMEA Networking, Cisco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Łączność bezprzewodowa staje się dziś jednym z kluczowych fundamentów funkcjonowania firm w erze sztucznej inteligencji. Wraz z wdrażaniem nowych zastosowań AI to właśnie sieć bezprzewodowa odpowiada za bezpieczeństwo, zbieranie danych oraz ich analizę, przesyłanie i reakcję w czasie rzeczywistym, czyli wszystko to, co napędza nowoczesny biznes.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Zmiana ta obejmuje wszystkie branże. W ochronie zdrowia już teraz wdrażane jest Wi-Fi 7 o wysokiej przepustowości, które wspiera jakość opieki nad pacjentami i usprawnia pracę personelu. Jednocześnie sieci muszą obsługiwać nie tylko ludzi i urządzenia, lecz także autonomiczne systemy AI, przetwarzające ogromne ilości danych i podejmujące decyzje w ułamkach sekund. To całkowicie zmienia wymagania wobec infrastruktury.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Gdy sieć zawodzi, konsekwencje odczuwa cała organizacja. W praktyce oznacza to, że każdy przestój czy spadek wydajności bardzo szybko przekłada się na realne problemy operacyjne. Dlatego dziś Wi-Fi nie powinno być traktowane wyłącznie jako element IT, ale jako strategiczna platforma, od której zależy rozwój i zdolność firm do wdrażania innowacji.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Rosnąca złożoność sieci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hyperlink r:id="rId2">
        <w:r>
          <w:rPr>
            <w:rStyle w:val="Hyperlink"/>
            <w:rFonts w:cs="Calibri" w:ascii="Calibri" w:hAnsi="Calibri"/>
            <w:sz w:val="22"/>
            <w:szCs w:val="22"/>
          </w:rPr>
          <w:t>Najnowsze badania pokazują</w:t>
        </w:r>
      </w:hyperlink>
      <w:r>
        <w:rPr>
          <w:rFonts w:cs="Calibri" w:ascii="Calibri" w:hAnsi="Calibri"/>
          <w:sz w:val="22"/>
          <w:szCs w:val="22"/>
        </w:rPr>
        <w:t>, że 93% liderów IT w Polsce dostrzega wzrost złożoności środowisk bezprzewodowych. Najczęstsze przyczyny to rosnące zapotrzebowanie na przepustowość (43%), obciążenia związane z krytycznymi systemami IT, IoT i OT (37%) oraz zmieniające się wymogi regulacyjne (32%). 87% firm zmaga się z ograniczoną widocznością działania sieci, co utrudnia szybkie diagnozowanie problemów i prowadzi do reaktywnego, kosztownego zarządzania.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Jednocześnie ponad dwie trzecie polskich organizacji wskazuje, że strategiczne inwestycje w sieci bezprzewodowe przekładają się na większą efektywność operacyjną, a 65% dostrzega lepsze zaangażowanie klientów. Mimo to 22% zespołów IT otrzymuje co najmniej 50 zgłoszeń tygodniowo dotyczących sieci bezprzewodowych, co oznacza setki godzin miesięcznie poświęconych na obsługę problemów, które mogłyby zostać rozwiązane automatycznie.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Paradoks AI w sieciach bezprzewodowych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Sztuczna inteligencja przynosi wymierne korzyści w zarządzaniu siecią i szybki zwrot z inwestycji. Jednocześnie cyberataki wykorzystujące AI stają się jednym z największych zagrożeń. To tzw. paradoks AI w sieciach: te same technologie, które budują przewagę konkurencyjną, mogą generować nowe ryzyka, jeśli nie są odpowiednio zabezpieczone.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Aby AI była wsparciem, a nie zagrożeniem, organizacje muszą przejść od reaktywnego rozwiązywania problemów do proaktywnego, inteligentnego zarządzania. Już dziś AI upraszcza zadania związane z utrzymaniem jakości sieci i może zaoszczędzić ponad 850 godzin pracy rocznie na jednego specjalistę IT. To nie tylko kwestia efektywności – to także realna przestrzeń na rozwój innowacji.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Ten paradoks pokazuje, że potrzebna jest głęboka zmiana modelu zarządzania siecią. Stopniowe usprawnienia przestają wystarczać. Aby w pełni wykorzystać potencjał AI i ograniczyć ryzyka, firmy muszą na nowo przemyśleć projektowanie, zabezpieczenia i sposób zarządzania siecią.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Trzy kluczowe kierunki zmian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Aby przygotować się na nową rzeczywistość, organizacje powinny skoncentrować się na trzech obszarach: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Od reakcji do autonomii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Zamiast reagować na problemy, firmy powinny rozwijać sieci działające w sposób autonomiczny, wspierane przez systemy AI. To pozwala ograniczyć „szum operacyjny” i skupić się zespołom na działaniach, które realnie wspierają rozwój biznesu.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Bezpieczeństwo na poziomie AI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Zagrożenia wykorzystujące AI rosną – ponad jedna trzecia naruszeń bezpieczeństwa wynika z przejętych urządzeń IoT lub systemów operacyjnych. Ochrona musi nadążać za tempem działania systemów, które firmy wdrażają.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Sieci dla zespołów hybrydowych (ludzie + AI)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Dzisiejsze środowisko pracy to połączenie ludzi, systemów automatycznych i agentów AI. Przykładowo w logistyce AI może w czasie rzeczywistym zmieniać trasy dostaw, podczas gdy menedżer podejmuje decyzję o ich zatwierdzeniu, a system weryfikuje uprawnienia. Wszystko to dzieje się w ułamkach sekund. Sieci muszą więc zapewniać bezpieczny, natychmiastowy przepływ danych oraz zarządzanie tożsamością użytkowników, urządzeń i systemów AI.</w:t>
      </w:r>
    </w:p>
    <w:p>
      <w:pPr>
        <w:pStyle w:val="Normal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Co to oznacza dla biznesu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Firmy planujące rozwój w kierunku systemów autonomicznych powinny przyspieszyć modernizację infrastruktury – w tym sieci bezprzewodowych. Kluczowe jest określenie obecnego poziomu dojrzałości, zaplanowanie rozwoju systemów opartych na AI oraz dostosowanie infrastruktury zarówno do wsparcia pracy ludzi, jak i systemów autonomicznych.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 Cisco rozwijamy rozwiązania </w:t>
      </w:r>
      <w:hyperlink r:id="rId3">
        <w:r>
          <w:rPr>
            <w:rStyle w:val="Hyperlink"/>
            <w:rFonts w:cs="Calibri" w:ascii="Calibri" w:hAnsi="Calibri"/>
            <w:sz w:val="22"/>
            <w:szCs w:val="22"/>
          </w:rPr>
          <w:t>infrastrukturalne odpowiadające na te potrzeby</w:t>
        </w:r>
      </w:hyperlink>
      <w:r>
        <w:rPr>
          <w:rFonts w:cs="Calibri" w:ascii="Calibri" w:hAnsi="Calibri"/>
          <w:sz w:val="22"/>
          <w:szCs w:val="22"/>
        </w:rPr>
        <w:t>. Nasze technologie sieciowe wspierają działanie systemów w czasie rzeczywistym i mogą współpracować z istniejącą infrastrukturą, ułatwiając przejście do środowisk gotowych na AI.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Organizacje, które będą zwlekać z tą transformacją, ryzykują, że ich sieci staną się barierą zamiast wsparciem dla rozwoju. Koszt braku działania będzie tylko rosnąć. Z kolei firmy, które podejmą ten krok już teraz, przestaną jedynie zarządzać złożonością, a zaczną budować fundament pod innowacje. Ich sieci nie będą tylko łączyć – będą przewidywać, dostosowywać się i przyspieszać rozwój biznesu. Ta przyszłość już się zaczęła. Pytanie brzmi: kto ją wykorzysta jako pierwszy?</w:t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eastAsia="Calibri" w:cs="Calibri" w:ascii="Calibri" w:hAnsi="Calibri"/>
          <w:color w:themeColor="text1" w:val="000000"/>
          <w:sz w:val="22"/>
          <w:szCs w:val="22"/>
          <w:lang w:val="pl-PL"/>
        </w:rPr>
        <w:t>.:|:.:|:.</w:t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eastAsia="Segoe UI" w:cs="Segoe UI" w:ascii="Segoe UI" w:hAnsi="Segoe UI"/>
          <w:sz w:val="21"/>
          <w:szCs w:val="21"/>
          <w:lang w:val="pl-PL"/>
        </w:rPr>
        <w:t xml:space="preserve"> </w:t>
      </w:r>
    </w:p>
    <w:p>
      <w:pPr>
        <w:pStyle w:val="Normal"/>
        <w:spacing w:beforeAutospacing="0" w:before="0" w:afterAutospacing="0" w:after="0"/>
        <w:jc w:val="both"/>
        <w:rPr/>
      </w:pPr>
      <w:r>
        <w:rPr>
          <w:rFonts w:eastAsia="Calibri" w:cs="Calibri" w:ascii="Calibri" w:hAnsi="Calibri"/>
          <w:b/>
          <w:bCs/>
          <w:sz w:val="20"/>
          <w:szCs w:val="20"/>
          <w:lang w:val="pl-PL"/>
        </w:rPr>
        <w:t>O Cisco   </w:t>
      </w:r>
      <w:r>
        <w:rPr>
          <w:rFonts w:eastAsia="Calibri" w:cs="Calibri" w:ascii="Calibri" w:hAnsi="Calibri"/>
          <w:sz w:val="20"/>
          <w:szCs w:val="20"/>
          <w:lang w:val="pl-PL"/>
        </w:rPr>
        <w:t xml:space="preserve">  </w:t>
      </w:r>
    </w:p>
    <w:p>
      <w:pPr>
        <w:pStyle w:val="Normal"/>
        <w:spacing w:beforeAutospacing="0" w:before="0" w:afterAutospacing="0" w:after="0"/>
        <w:jc w:val="both"/>
        <w:rPr/>
      </w:pPr>
      <w:r>
        <w:rPr>
          <w:rFonts w:eastAsia="Segoe UI" w:cs="Segoe UI" w:ascii="Segoe UI" w:hAnsi="Segoe UI"/>
          <w:sz w:val="21"/>
          <w:szCs w:val="21"/>
          <w:lang w:val="pl-PL"/>
        </w:rPr>
        <w:t xml:space="preserve"> </w:t>
      </w:r>
    </w:p>
    <w:p>
      <w:pPr>
        <w:pStyle w:val="Normal"/>
        <w:spacing w:beforeAutospacing="0" w:before="0" w:afterAutospacing="0" w:after="0"/>
        <w:jc w:val="both"/>
        <w:rPr/>
      </w:pPr>
      <w:r>
        <w:rPr>
          <w:rFonts w:eastAsia="Calibri" w:cs="Calibri" w:ascii="Calibri" w:hAnsi="Calibri"/>
          <w:sz w:val="20"/>
          <w:szCs w:val="20"/>
          <w:lang w:val="pl-PL"/>
        </w:rPr>
        <w:t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inkluzywnej przyszłości dla wszystkich.</w:t>
      </w:r>
    </w:p>
    <w:p>
      <w:pPr>
        <w:pStyle w:val="Normal"/>
        <w:spacing w:beforeAutospacing="0" w:before="0" w:afterAutospacing="0" w:after="0"/>
        <w:jc w:val="both"/>
        <w:rPr/>
      </w:pPr>
      <w:r>
        <w:rPr>
          <w:rFonts w:eastAsia="Segoe UI" w:cs="Segoe UI" w:ascii="Segoe UI" w:hAnsi="Segoe UI"/>
          <w:sz w:val="21"/>
          <w:szCs w:val="21"/>
          <w:lang w:val="pl-PL"/>
        </w:rPr>
        <w:t xml:space="preserve"> </w:t>
      </w:r>
    </w:p>
    <w:p>
      <w:pPr>
        <w:pStyle w:val="Normal"/>
        <w:spacing w:beforeAutospacing="0" w:before="0" w:afterAutospacing="0" w:after="0"/>
        <w:jc w:val="both"/>
        <w:rPr/>
      </w:pPr>
      <w:r>
        <w:rPr>
          <w:rFonts w:eastAsia="Calibri" w:cs="Calibri" w:ascii="Calibri" w:hAnsi="Calibri"/>
          <w:sz w:val="20"/>
          <w:szCs w:val="20"/>
          <w:lang w:val="pl-PL"/>
        </w:rPr>
        <w:t xml:space="preserve">Cisco i logo Cisco są znakami towarowymi lub zastrzeżonymi znakami towarowymi firmy Cisco i/lub jej podmiotów stowarzyszonych w Stanach Zjednoczonych i innych krajach. Listę znaków towarowych Cisco można znaleźć na stronie </w:t>
      </w:r>
      <w:hyperlink r:id="rId4">
        <w:r>
          <w:rPr>
            <w:rStyle w:val="Hyperlink"/>
            <w:rFonts w:eastAsia="Calibri" w:cs="Calibri" w:ascii="Calibri" w:hAnsi="Calibri"/>
            <w:sz w:val="20"/>
            <w:szCs w:val="20"/>
            <w:lang w:val="pl-PL"/>
          </w:rPr>
          <w:t>www.cisco.com/go/trademarks</w:t>
        </w:r>
      </w:hyperlink>
      <w:r>
        <w:rPr>
          <w:rFonts w:eastAsia="Calibri" w:cs="Calibri" w:ascii="Calibri" w:hAnsi="Calibri"/>
          <w:sz w:val="20"/>
          <w:szCs w:val="20"/>
          <w:lang w:val="pl-PL"/>
        </w:rPr>
        <w:t>. Wymienione znaki towarowe innych firm są własnością ich odpowiednich właścicieli. Użycie słowa partner nie oznacza relacji partnerskiej między Cisco a jakąkolwiek inną firmą.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00307a5d"/>
    <w:pPr>
      <w:keepNext w:val="true"/>
      <w:keepLines/>
      <w:spacing w:before="360" w:after="80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160" w:after="80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160" w:after="80"/>
      <w:outlineLvl w:val="2"/>
    </w:pPr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80" w:after="40"/>
      <w:outlineLvl w:val="3"/>
    </w:pPr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40" w:after="0"/>
      <w:outlineLvl w:val="5"/>
    </w:pPr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40" w:after="0"/>
      <w:outlineLvl w:val="6"/>
    </w:pPr>
    <w:rPr>
      <w:rFonts w:eastAsia="游ゴシック Light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0" w:after="0"/>
      <w:outlineLvl w:val="7"/>
    </w:pPr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307a5d"/>
    <w:pPr>
      <w:keepNext w:val="true"/>
      <w:keepLines/>
      <w:spacing w:before="0" w:after="0"/>
      <w:outlineLvl w:val="8"/>
    </w:pPr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sid w:val="00307a5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07a5d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76d40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6d40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uiPriority w:val="9"/>
    <w:qFormat/>
    <w:rsid w:val="0035172a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5172a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5172a"/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5172a"/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5172a"/>
    <w:rPr>
      <w:rFonts w:eastAsia="游ゴシック Light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uiPriority w:val="29"/>
    <w:qFormat/>
    <w:rsid w:val="0035172a"/>
    <w:rPr>
      <w:i/>
      <w:iCs/>
      <w:color w:themeColor="text1" w:themeTint="bf" w:val="404040"/>
    </w:rPr>
  </w:style>
  <w:style w:type="character" w:styleId="CytatintensywnyZnak" w:customStyle="1">
    <w:name w:val="Cytat intensywny Znak"/>
    <w:basedOn w:val="DefaultParagraphFont"/>
    <w:uiPriority w:val="30"/>
    <w:qFormat/>
    <w:rsid w:val="0035172a"/>
    <w:rPr>
      <w:i/>
      <w:iCs/>
      <w:color w:themeColor="accent1" w:themeShade="bf" w:val="0F4761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07a5d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isco.com/site/us/en/products/networking/wireless/state-of-wireless-report/index.html" TargetMode="External"/><Relationship Id="rId3" Type="http://schemas.openxmlformats.org/officeDocument/2006/relationships/hyperlink" Target="https://www.cisco.com/site/us/en/solutions/networking/campus-branch-networking/index.html" TargetMode="External"/><Relationship Id="rId4" Type="http://schemas.openxmlformats.org/officeDocument/2006/relationships/hyperlink" Target="https://www.cisco.com/go/trademark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DocSecurity>4</DocSecurity>
  <Pages>3</Pages>
  <Words>839</Words>
  <Characters>5523</Characters>
  <CharactersWithSpaces>6345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2026-04-21T04:50:00Z</dcterms:created>
  <dc:creator>Małgorzata Trociewicz</dc:creator>
  <dc:description/>
  <dc:language>pl-PL</dc:language>
  <cp:lastModifiedBy/>
  <dcterms:modified xsi:type="dcterms:W3CDTF">2026-04-24T12:52:35Z</dcterms:modified>
  <cp:revision>172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219874ca-8a3e-4f5b-96e0-df50df8d8b1b</vt:lpwstr>
  </property>
</Properties>
</file>