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textAlignment w:val="baseline"/>
        <w:rPr>
          <w:rFonts w:ascii="Segoe UI" w:hAnsi="Segoe UI" w:eastAsia="Times New Roman" w:cs="Segoe UI"/>
          <w:sz w:val="18"/>
          <w:szCs w:val="18"/>
        </w:rPr>
      </w:pPr>
      <w:r>
        <w:rPr>
          <w:rFonts w:eastAsia="Times New Roman" w:cs="Segoe UI" w:ascii="Aptos Display" w:hAnsi="Aptos Display"/>
          <w:b/>
          <w:bCs/>
          <w:sz w:val="24"/>
          <w:szCs w:val="24"/>
        </w:rPr>
        <w:t>Informacja prasowa</w:t>
      </w:r>
    </w:p>
    <w:p>
      <w:pPr>
        <w:pStyle w:val="Default"/>
        <w:jc w:val="end"/>
        <w:rPr>
          <w:rFonts w:ascii="Calibri" w:hAnsi="Calibri" w:cs="Calibri" w:asciiTheme="minorHAnsi" w:cstheme="minorHAnsi" w:hAnsiTheme="minorHAnsi"/>
          <w:b/>
          <w:bCs/>
          <w:sz w:val="16"/>
          <w:szCs w:val="16"/>
        </w:rPr>
      </w:pPr>
      <w:r>
        <w:rPr>
          <w:rFonts w:cs="Calibri" w:cstheme="minorHAnsi" w:ascii="Calibri" w:hAnsi="Calibri"/>
          <w:b/>
          <w:bCs/>
          <w:sz w:val="16"/>
          <w:szCs w:val="16"/>
        </w:rPr>
      </w:r>
    </w:p>
    <w:p>
      <w:pPr>
        <w:pStyle w:val="Default"/>
        <w:rPr>
          <w:rFonts w:ascii="Calibri" w:hAnsi="Calibri" w:cs="Calibri" w:asciiTheme="minorHAnsi" w:cstheme="minorHAnsi" w:hAnsiTheme="minorHAnsi"/>
          <w:b/>
          <w:bCs/>
          <w:sz w:val="16"/>
          <w:szCs w:val="16"/>
        </w:rPr>
      </w:pPr>
      <w:r>
        <w:rPr>
          <w:rFonts w:cs="Calibri" w:cstheme="minorHAnsi" w:ascii="Calibri" w:hAnsi="Calibri"/>
          <w:b/>
          <w:bCs/>
          <w:sz w:val="16"/>
          <w:szCs w:val="16"/>
        </w:rPr>
        <w:drawing>
          <wp:anchor distT="0" distB="0" distL="0" distR="114300" simplePos="0" relativeHeight="10" behindDoc="0" locked="0" layoutInCell="0" allowOverlap="1">
            <wp:simplePos x="0" y="0"/>
            <wp:positionH relativeFrom="margin">
              <wp:align>left</wp:align>
            </wp:positionH>
            <wp:positionV relativeFrom="paragraph">
              <wp:posOffset>71755</wp:posOffset>
            </wp:positionV>
            <wp:extent cx="1078865" cy="307975"/>
            <wp:effectExtent l="0" t="0" r="0" b="0"/>
            <wp:wrapTight wrapText="bothSides">
              <wp:wrapPolygon edited="0">
                <wp:start x="-2" y="0"/>
                <wp:lineTo x="-2" y="20030"/>
                <wp:lineTo x="21359" y="20030"/>
                <wp:lineTo x="21359" y="0"/>
                <wp:lineTo x="-2" y="0"/>
              </wp:wrapPolygon>
            </wp:wrapTight>
            <wp:docPr id="1"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background with a black square&#10;&#10;AI-generated content may be incorrect."/>
                    <pic:cNvPicPr>
                      <a:picLocks noChangeAspect="1" noChangeArrowheads="1"/>
                    </pic:cNvPicPr>
                  </pic:nvPicPr>
                  <pic:blipFill>
                    <a:blip r:embed="rId2"/>
                    <a:stretch>
                      <a:fillRect/>
                    </a:stretch>
                  </pic:blipFill>
                  <pic:spPr bwMode="auto">
                    <a:xfrm>
                      <a:off x="0" y="0"/>
                      <a:ext cx="1078865" cy="307975"/>
                    </a:xfrm>
                    <a:prstGeom prst="rect">
                      <a:avLst/>
                    </a:prstGeom>
                    <a:noFill/>
                  </pic:spPr>
                </pic:pic>
              </a:graphicData>
            </a:graphic>
          </wp:anchor>
        </w:drawing>
      </w:r>
    </w:p>
    <w:p>
      <w:pPr>
        <w:pStyle w:val="Normal"/>
        <w:spacing w:lineRule="auto" w:line="240" w:before="0" w:after="0"/>
        <w:rPr>
          <w:rFonts w:cs="Calibri" w:cstheme="minorHAnsi"/>
          <w:lang w:val="en-GB"/>
        </w:rPr>
      </w:pPr>
      <w:r>
        <w:rPr>
          <w:rFonts w:cs="Calibri" w:cstheme="minorHAnsi"/>
          <w:lang w:val="en-GB"/>
        </w:rPr>
      </w:r>
    </w:p>
    <w:p>
      <w:pPr>
        <w:pStyle w:val="Normal"/>
        <w:spacing w:lineRule="auto" w:line="240" w:before="0" w:after="0"/>
        <w:rPr>
          <w:rFonts w:cs="Calibri" w:cstheme="minorHAnsi"/>
          <w:lang w:val="en-GB"/>
        </w:rPr>
      </w:pPr>
      <w:r>
        <w:rPr>
          <w:rFonts w:cs="Calibri" w:cstheme="minorHAnsi"/>
          <w:lang w:val="en-GB"/>
        </w:rPr>
      </w:r>
    </w:p>
    <w:p>
      <w:pPr>
        <w:pStyle w:val="Normal"/>
        <w:spacing w:lineRule="auto" w:line="240" w:before="0" w:after="0"/>
        <w:rPr>
          <w:rFonts w:cs="Calibri" w:cstheme="minorHAnsi"/>
        </w:rPr>
      </w:pPr>
      <w:r>
        <w:rPr>
          <w:rFonts w:cs="Calibri" w:cstheme="minorHAnsi"/>
        </w:rPr>
        <w:t>Hewlett Packard Enterprise</w:t>
      </w:r>
    </w:p>
    <w:p>
      <w:pPr>
        <w:pStyle w:val="Normal"/>
        <w:spacing w:lineRule="auto" w:line="240" w:before="0" w:after="0"/>
        <w:rPr>
          <w:rFonts w:cs="Calibri" w:cstheme="minorHAnsi"/>
        </w:rPr>
      </w:pPr>
      <w:r>
        <w:rPr>
          <w:rFonts w:cs="Calibri" w:cstheme="minorHAnsi"/>
        </w:rPr>
        <w:t>1701 E. Mossy Oaks Road</w:t>
      </w:r>
    </w:p>
    <w:p>
      <w:pPr>
        <w:pStyle w:val="Normal"/>
        <w:spacing w:lineRule="auto" w:line="240" w:before="0" w:after="0"/>
        <w:rPr>
          <w:rFonts w:cs="Calibri" w:cstheme="minorHAnsi"/>
          <w:lang w:val="pl-PL"/>
        </w:rPr>
      </w:pPr>
      <w:r>
        <w:rPr>
          <w:rFonts w:cs="Calibri" w:cstheme="minorHAnsi"/>
          <w:lang w:val="pl-PL"/>
        </w:rPr>
        <w:t>Spring, TX 77389</w:t>
      </w:r>
    </w:p>
    <w:p>
      <w:pPr>
        <w:pStyle w:val="Normal"/>
        <w:spacing w:lineRule="auto" w:line="240" w:before="0" w:after="0"/>
        <w:rPr>
          <w:rFonts w:cs="Calibri" w:cstheme="minorHAnsi"/>
          <w:lang w:val="pl-PL"/>
        </w:rPr>
      </w:pPr>
      <w:r>
        <w:rPr>
          <w:rFonts w:cs="Calibri" w:cstheme="minorHAnsi"/>
          <w:lang w:val="pl-PL"/>
        </w:rPr>
      </w:r>
    </w:p>
    <w:p>
      <w:pPr>
        <w:pStyle w:val="Normal"/>
        <w:spacing w:lineRule="auto" w:line="240" w:before="0" w:after="0"/>
        <w:rPr>
          <w:lang w:val="pl-PL"/>
        </w:rPr>
      </w:pPr>
      <w:r>
        <w:rPr>
          <w:lang w:val="pl-PL"/>
        </w:rPr>
        <w:t>hpe.com</w:t>
      </w:r>
    </w:p>
    <w:p>
      <w:pPr>
        <w:pStyle w:val="Normal"/>
        <w:spacing w:lineRule="auto" w:line="240" w:before="0" w:after="0"/>
        <w:rPr>
          <w:lang w:val="pl-PL"/>
        </w:rPr>
      </w:pPr>
      <w:r>
        <w:rPr>
          <w:lang w:val="pl-PL"/>
        </w:rPr>
      </w:r>
    </w:p>
    <w:p>
      <w:pPr>
        <w:pStyle w:val="Default"/>
        <w:rPr>
          <w:rFonts w:ascii="Calibri" w:hAnsi="Calibri" w:cs="Arial" w:asciiTheme="minorHAnsi" w:cstheme="minorBidi" w:hAnsiTheme="minorHAnsi"/>
          <w:color w:val="00CC99"/>
          <w:sz w:val="22"/>
          <w:szCs w:val="22"/>
          <w:lang w:val="pl-PL"/>
        </w:rPr>
      </w:pPr>
      <w:r>
        <w:rPr>
          <w:rFonts w:cs="Arial" w:ascii="Calibri" w:hAnsi="Calibri" w:asciiTheme="minorHAnsi" w:cstheme="minorBidi" w:hAnsiTheme="minorHAnsi"/>
          <w:b/>
          <w:bCs/>
          <w:color w:val="00CC99"/>
          <w:sz w:val="22"/>
          <w:szCs w:val="22"/>
          <w:lang w:val="pl-PL"/>
        </w:rPr>
        <w:t>Informacja prasowa</w:t>
      </w:r>
    </w:p>
    <w:p>
      <w:pPr>
        <w:pStyle w:val="Default"/>
        <w:rPr>
          <w:rFonts w:ascii="Calibri" w:hAnsi="Calibri" w:cs="Arial" w:asciiTheme="minorHAnsi" w:cstheme="minorBidi" w:hAnsiTheme="minorHAnsi"/>
          <w:b/>
          <w:bCs/>
          <w:sz w:val="36"/>
          <w:szCs w:val="36"/>
          <w:lang w:val="pl-PL"/>
        </w:rPr>
      </w:pPr>
      <w:r>
        <w:rPr>
          <w:rFonts w:cs="Arial" w:ascii="Calibri" w:hAnsi="Calibri" w:asciiTheme="minorHAnsi" w:cstheme="minorBidi" w:hAnsiTheme="minorHAnsi"/>
          <w:b/>
          <w:bCs/>
          <w:sz w:val="36"/>
          <w:szCs w:val="36"/>
          <w:lang w:val="pl-PL"/>
        </w:rPr>
        <w:t>HPE wprowadza rozwiązania dla AI i obciążeń o znaczeniu krytycznym przeznaczone do stosowania w trudnych warunkach</w:t>
      </w:r>
    </w:p>
    <w:p>
      <w:pPr>
        <w:pStyle w:val="Default"/>
        <w:rPr>
          <w:lang w:val="pl-PL"/>
        </w:rPr>
      </w:pPr>
      <w:r>
        <w:rPr>
          <w:lang w:val="pl-PL"/>
        </w:rPr>
      </w:r>
    </w:p>
    <w:p>
      <w:pPr>
        <w:pStyle w:val="Default"/>
        <w:rPr>
          <w:rFonts w:ascii="Calibri" w:hAnsi="Calibri" w:cs="Arial" w:asciiTheme="minorHAnsi" w:cstheme="minorBidi" w:hAnsiTheme="minorHAnsi"/>
          <w:sz w:val="22"/>
          <w:szCs w:val="22"/>
          <w:lang w:val="pl-PL"/>
        </w:rPr>
      </w:pPr>
      <w:r>
        <w:rPr>
          <w:rFonts w:cs="Arial" w:ascii="Calibri" w:hAnsi="Calibri" w:asciiTheme="minorHAnsi" w:cstheme="minorBidi" w:hAnsiTheme="minorHAnsi"/>
          <w:b/>
          <w:bCs/>
          <w:sz w:val="22"/>
          <w:szCs w:val="22"/>
          <w:lang w:val="pl-PL"/>
        </w:rPr>
        <w:t xml:space="preserve">HOUSTON – 30 kwietnia 2026 r. – </w:t>
      </w:r>
      <w:r>
        <w:rPr>
          <w:rFonts w:cs="Arial" w:ascii="Calibri" w:hAnsi="Calibri" w:asciiTheme="minorHAnsi" w:cstheme="minorBidi" w:hAnsiTheme="minorHAnsi"/>
          <w:sz w:val="22"/>
          <w:szCs w:val="22"/>
          <w:lang w:val="pl-PL"/>
        </w:rPr>
        <w:t xml:space="preserve">Firma </w:t>
      </w:r>
      <w:hyperlink r:id="rId3">
        <w:r>
          <w:rPr>
            <w:rStyle w:val="Hyperlink"/>
            <w:sz w:val="20"/>
            <w:szCs w:val="20"/>
            <w:lang w:val="pl-PL"/>
          </w:rPr>
          <w:t>HPE</w:t>
        </w:r>
      </w:hyperlink>
      <w:r>
        <w:rPr>
          <w:rFonts w:cs="Arial" w:ascii="Calibri" w:hAnsi="Calibri" w:asciiTheme="minorHAnsi" w:cstheme="minorBidi" w:hAnsiTheme="minorHAnsi"/>
          <w:sz w:val="22"/>
          <w:szCs w:val="22"/>
          <w:lang w:val="pl-PL"/>
        </w:rPr>
        <w:t xml:space="preserve"> (NYSE: HPE) rozszerzyła dziś swoją gamę produktów HPE ProLiant dla zastosowań brzegowych o rozwiązania dla klientów pragnących szerzej wykorzystywać sztuczną inteligencję i realizować zadania o znaczeniu krytycznym w rozproszonych i trudnych środowiskach. Nowy rodzaj obudowy HPE ProLiant Compute EL2000, stanowiący podstawę dwóch nowych serwerów Gen12, oraz ulepszony model HPE ProLiant DL145 Gen11 to przykłady odpornych i bezpiecznych rozwiązań zaprojektowanych z myślą o wdrożeniach brzegowych, złożonych środowiskach i zastosowaniu w warunkach braku łączności. Ponadto platformy te są obecnie oferowane z zestawem Environmental Ruggedization Option Kit, idealnym do zastosowań w trudnych lokalizacjach, np. na dużych wysokościach, w ekstremalnych temperaturach oraz podczas transportu w niebezpiecznych warunkach.</w:t>
      </w:r>
    </w:p>
    <w:p>
      <w:pPr>
        <w:pStyle w:val="Default"/>
        <w:rPr>
          <w:rFonts w:ascii="Calibri" w:hAnsi="Calibri" w:cs="Arial" w:asciiTheme="minorHAnsi" w:cstheme="minorBidi" w:hAnsiTheme="minorHAnsi"/>
          <w:sz w:val="22"/>
          <w:szCs w:val="22"/>
          <w:lang w:val="pl-PL"/>
        </w:rPr>
      </w:pPr>
      <w:r>
        <w:rPr>
          <w:rFonts w:cs="Arial" w:cstheme="minorBidi" w:ascii="Calibri" w:hAnsi="Calibri"/>
          <w:sz w:val="22"/>
          <w:szCs w:val="22"/>
          <w:lang w:val="pl-PL"/>
        </w:rPr>
      </w:r>
    </w:p>
    <w:p>
      <w:pPr>
        <w:pStyle w:val="Default"/>
        <w:rPr>
          <w:rFonts w:ascii="Calibri" w:hAnsi="Calibri" w:cs="Arial" w:asciiTheme="minorHAnsi" w:cstheme="minorBidi" w:hAnsiTheme="minorHAnsi"/>
          <w:sz w:val="22"/>
          <w:szCs w:val="22"/>
          <w:lang w:val="pl-PL"/>
        </w:rPr>
      </w:pPr>
      <w:r>
        <w:rPr>
          <w:rFonts w:cs="Arial" w:ascii="Calibri" w:hAnsi="Calibri" w:asciiTheme="minorHAnsi" w:cstheme="minorBidi" w:hAnsiTheme="minorHAnsi"/>
          <w:sz w:val="22"/>
          <w:szCs w:val="22"/>
          <w:lang w:val="pl-PL"/>
        </w:rPr>
        <w:t>„</w:t>
      </w:r>
      <w:r>
        <w:rPr>
          <w:rFonts w:cs="Arial" w:ascii="Calibri" w:hAnsi="Calibri" w:asciiTheme="minorHAnsi" w:cstheme="minorBidi" w:hAnsiTheme="minorHAnsi"/>
          <w:sz w:val="22"/>
          <w:szCs w:val="22"/>
          <w:lang w:val="pl-PL"/>
        </w:rPr>
        <w:t>Organizacje dążą do wdrożeń brzegowych w zakresie wnioskowania AI i operacji zdalnych, gdzie tradycyjne rozwiązania IT są często mało użyteczne” – powiedziała Krista Satterthwaite, starsza wiceprezes i dyrektor generalna działu Compute w HPE. „HPE ProLiant został zaprojektowany z myślą o zapewnieniu zabezpieczeń klasy korporacyjnej, odpowiedniej wydajności oraz ujednoliconego podejścia do zarządzania i automatyzacji operacji, co umożliwia łatwe i skuteczne wdrażanie, zarządzanie i skalowanie środowisk brzegowych. Dzięki takim właśnie platformom nowej generacji klienci są w stanie skuteczniej radzić sobie ze złożonością przetwarzania brzegowego, korzystając jednocześnie ze zwiększonej wydajności”.</w:t>
      </w:r>
      <w:r>
        <w:rPr>
          <w:rFonts w:cs="Calibri" w:ascii="Calibri" w:hAnsi="Calibri"/>
          <w:color w:val="auto"/>
          <w:sz w:val="22"/>
          <w:szCs w:val="22"/>
          <w:lang w:val="pl-PL"/>
        </w:rPr>
        <w:t xml:space="preserve">  </w:t>
      </w:r>
    </w:p>
    <w:p>
      <w:pPr>
        <w:pStyle w:val="Default"/>
        <w:rPr>
          <w:rFonts w:ascii="Calibri" w:hAnsi="Calibri" w:cs="Arial" w:asciiTheme="minorHAnsi" w:cstheme="minorBidi" w:hAnsiTheme="minorHAnsi"/>
          <w:color w:val="auto"/>
          <w:sz w:val="22"/>
          <w:szCs w:val="22"/>
          <w:lang w:val="pl-PL"/>
        </w:rPr>
      </w:pPr>
      <w:r>
        <w:rPr>
          <w:rFonts w:cs="Arial" w:cstheme="minorBidi" w:ascii="Calibri" w:hAnsi="Calibri"/>
          <w:color w:val="auto"/>
          <w:sz w:val="22"/>
          <w:szCs w:val="22"/>
          <w:lang w:val="pl-PL"/>
        </w:rPr>
      </w:r>
    </w:p>
    <w:p>
      <w:pPr>
        <w:pStyle w:val="Default"/>
        <w:rPr>
          <w:rFonts w:ascii="Calibri" w:hAnsi="Calibri" w:cs="Arial" w:asciiTheme="minorHAnsi" w:cstheme="minorBidi" w:hAnsiTheme="minorHAnsi"/>
          <w:b/>
          <w:bCs/>
          <w:color w:val="auto"/>
          <w:sz w:val="22"/>
          <w:szCs w:val="22"/>
          <w:lang w:val="pl-PL"/>
        </w:rPr>
      </w:pPr>
      <w:r>
        <w:rPr>
          <w:rFonts w:cs="Arial" w:ascii="Calibri" w:hAnsi="Calibri" w:asciiTheme="minorHAnsi" w:cstheme="minorBidi" w:hAnsiTheme="minorHAnsi"/>
          <w:b/>
          <w:bCs/>
          <w:color w:val="auto"/>
          <w:sz w:val="22"/>
          <w:szCs w:val="22"/>
          <w:lang w:val="pl-PL"/>
        </w:rPr>
        <w:t>Nowe, udoskonalone platformy ProLiant Edge</w:t>
      </w:r>
    </w:p>
    <w:p>
      <w:pPr>
        <w:pStyle w:val="Normal"/>
        <w:spacing w:before="0" w:after="0"/>
        <w:rPr>
          <w:lang w:val="pl-PL"/>
        </w:rPr>
      </w:pPr>
      <w:r>
        <w:rPr>
          <w:lang w:val="pl-PL"/>
        </w:rPr>
        <w:t>Zaprojektowana na nowo obudowa HPE ProLiant Compute EL2000 powstała z myślą o najbardziej wymagających środowiskach, w których obowiązują ograniczenia dotyczące rozmiaru, wagi i mocy, a więc w obszarach takich jak bezpieczeństwo narodowe, produkcja, handel detaliczny czy telekomunikacja. Platforma ta bazuje na procesorach Intel Xeon 6, idealnych do wymagających środowisk brzegowych. Obudowa pozwala na zastosowanie maksymalnie dwóch serwerów HPE ProLiant Compute EL220 Gen12 lub jednego EL240 Gen12, zapewniając odporność, wydajność i elastyczność wynikającą z modułowości. Serwery te, dostępne wyłącznie z obudową HPE ProLiant Compute EL2000, zapewniają:</w:t>
      </w:r>
    </w:p>
    <w:p>
      <w:pPr>
        <w:pStyle w:val="ListParagraph"/>
        <w:numPr>
          <w:ilvl w:val="0"/>
          <w:numId w:val="3"/>
        </w:numPr>
        <w:spacing w:before="0" w:after="0"/>
        <w:contextualSpacing/>
        <w:rPr>
          <w:rFonts w:ascii="Calibri" w:hAnsi="Calibri" w:eastAsia="Calibri" w:cs="Calibri"/>
          <w:lang w:val="pl-PL"/>
        </w:rPr>
      </w:pPr>
      <w:r>
        <w:rPr>
          <w:lang w:val="pl-PL"/>
        </w:rPr>
        <w:t>Skalowalność od 8 do 144 rdzeni procesorów Intel Xeon 6</w:t>
      </w:r>
      <w:r>
        <w:rPr>
          <w:rStyle w:val="FootnoteReference"/>
          <w:vertAlign w:val="superscript"/>
        </w:rPr>
        <w:footnoteReference w:id="2"/>
      </w:r>
    </w:p>
    <w:p>
      <w:pPr>
        <w:pStyle w:val="ListParagraph"/>
        <w:numPr>
          <w:ilvl w:val="0"/>
          <w:numId w:val="3"/>
        </w:numPr>
        <w:spacing w:before="0" w:after="0"/>
        <w:contextualSpacing/>
        <w:rPr>
          <w:rFonts w:ascii="Calibri" w:hAnsi="Calibri" w:eastAsia="Calibri" w:cs="Calibri"/>
          <w:lang w:val="pl-PL"/>
        </w:rPr>
      </w:pPr>
      <w:r>
        <w:rPr>
          <w:rFonts w:eastAsia="Calibri" w:cs="Calibri" w:ascii="Calibri" w:hAnsi="Calibri"/>
          <w:lang w:val="pl-PL"/>
        </w:rPr>
        <w:t>Obsługę procesorów o mocy do 350 W, co pozwala na osiągnięcie wyższej wydajności</w:t>
      </w:r>
    </w:p>
    <w:p>
      <w:pPr>
        <w:pStyle w:val="ListParagraph"/>
        <w:numPr>
          <w:ilvl w:val="0"/>
          <w:numId w:val="3"/>
        </w:numPr>
        <w:spacing w:before="0" w:after="0"/>
        <w:contextualSpacing/>
        <w:rPr>
          <w:rFonts w:ascii="Calibri" w:hAnsi="Calibri" w:eastAsia="Calibri" w:cs="Calibri"/>
          <w:lang w:val="pl-PL"/>
        </w:rPr>
      </w:pPr>
      <w:r>
        <w:rPr>
          <w:rFonts w:eastAsia="Calibri" w:cs="Calibri" w:ascii="Calibri" w:hAnsi="Calibri"/>
          <w:lang w:val="pl-PL"/>
        </w:rPr>
        <w:t>Niezawodną pracę w ekstremalnych temperaturach (od -40°C do 55°C), a także przy wilgotności do 95%</w:t>
      </w:r>
      <w:r>
        <w:rPr>
          <w:rStyle w:val="FootnoteReference"/>
        </w:rPr>
        <w:footnoteReference w:id="3"/>
      </w:r>
    </w:p>
    <w:p>
      <w:pPr>
        <w:pStyle w:val="ListParagraph"/>
        <w:numPr>
          <w:ilvl w:val="0"/>
          <w:numId w:val="3"/>
        </w:numPr>
        <w:spacing w:before="0" w:after="0"/>
        <w:contextualSpacing/>
        <w:rPr>
          <w:rFonts w:ascii="Calibri" w:hAnsi="Calibri" w:eastAsia="Calibri" w:cs="Calibri"/>
          <w:lang w:val="pl-PL"/>
        </w:rPr>
      </w:pPr>
      <w:r>
        <w:rPr>
          <w:rFonts w:eastAsia="Calibri" w:cs="Calibri" w:ascii="Calibri" w:hAnsi="Calibri"/>
          <w:lang w:val="pl-PL"/>
        </w:rPr>
        <w:t>Odporność na zanieczyszczenia środowiska, zakłócenia elektromagnetyczne i silne wibracje powodowane przez samoloty lub pojazdy naziemne</w:t>
      </w:r>
    </w:p>
    <w:p>
      <w:pPr>
        <w:pStyle w:val="ListParagraph"/>
        <w:numPr>
          <w:ilvl w:val="0"/>
          <w:numId w:val="3"/>
        </w:numPr>
        <w:spacing w:before="0" w:after="0"/>
        <w:contextualSpacing/>
        <w:rPr>
          <w:rFonts w:ascii="Calibri" w:hAnsi="Calibri" w:eastAsia="Calibri" w:cs="Calibri"/>
          <w:lang w:val="pl-PL"/>
        </w:rPr>
      </w:pPr>
      <w:r>
        <w:rPr>
          <w:rFonts w:eastAsia="Calibri" w:cs="Calibri" w:ascii="Calibri" w:hAnsi="Calibri"/>
          <w:lang w:val="pl-PL"/>
        </w:rPr>
        <w:t>Możliwość zakupu z procesorami graficznymi NVIDIA RTX PRO 4500 lub NVIDIA RTX PRO 6000 Blackwell Server Edition (tylko w przypadku serwera EL240 Gen12)</w:t>
      </w:r>
    </w:p>
    <w:p>
      <w:pPr>
        <w:pStyle w:val="ListParagraph"/>
        <w:spacing w:before="0" w:after="0"/>
        <w:contextualSpacing/>
        <w:rPr>
          <w:lang w:val="pl-PL"/>
        </w:rPr>
      </w:pPr>
      <w:r>
        <w:rPr>
          <w:lang w:val="pl-PL"/>
        </w:rPr>
      </w:r>
    </w:p>
    <w:p>
      <w:pPr>
        <w:pStyle w:val="Default"/>
        <w:rPr>
          <w:rFonts w:ascii="Calibri" w:hAnsi="Calibri" w:cs="Arial" w:asciiTheme="minorHAnsi" w:cstheme="minorBidi" w:hAnsiTheme="minorHAnsi"/>
          <w:color w:val="auto"/>
          <w:sz w:val="22"/>
          <w:szCs w:val="22"/>
          <w:lang w:val="pl-PL"/>
        </w:rPr>
      </w:pPr>
      <w:r>
        <w:rPr>
          <w:rFonts w:cs="Arial" w:ascii="Calibri" w:hAnsi="Calibri" w:asciiTheme="minorHAnsi" w:cstheme="minorBidi" w:hAnsiTheme="minorHAnsi"/>
          <w:color w:val="auto"/>
          <w:sz w:val="22"/>
          <w:szCs w:val="22"/>
          <w:lang w:val="pl-PL"/>
        </w:rPr>
        <w:t xml:space="preserve">HPE wprowadza również ulepszoną wersję serwera HPE ProLiant DL145 Gen11 (wyposażoną w najnowsze procesory z serii AMD EPYC 8005 „Sorano”), zaprojektowaną z myślą o obsłudze rozproszonych i trudnych środowisk telekomunikacyjnych. Ten kompaktowy system 2U obsługuje do 84 energooszczędnych rdzeni. Nadaje się on idealnie do wdrożeń wymagających niskiego poziomu hałasu w branżach takich jak produkcja czy handel detaliczny. Ponadto został on zaprojektowany do pracy w ekstremalnych temperaturach (do 55°C). W najnowszych </w:t>
      </w:r>
      <w:hyperlink r:id="rId4">
        <w:r>
          <w:rPr>
            <w:rStyle w:val="Hyperlink"/>
            <w:rFonts w:cs="Arial" w:ascii="Calibri" w:hAnsi="Calibri" w:asciiTheme="minorHAnsi" w:cstheme="minorBidi" w:hAnsiTheme="minorHAnsi"/>
            <w:sz w:val="22"/>
            <w:szCs w:val="22"/>
            <w:lang w:val="pl-PL"/>
          </w:rPr>
          <w:t>wynikach MLPerf Inference v6.0</w:t>
        </w:r>
      </w:hyperlink>
      <w:r>
        <w:rPr>
          <w:lang w:val="pl-PL"/>
        </w:rPr>
        <w:t xml:space="preserve"> </w:t>
      </w:r>
      <w:r>
        <w:rPr>
          <w:rFonts w:cs="Arial" w:ascii="Calibri" w:hAnsi="Calibri" w:asciiTheme="minorHAnsi" w:cstheme="minorBidi" w:hAnsiTheme="minorHAnsi"/>
          <w:color w:val="auto"/>
          <w:sz w:val="22"/>
          <w:szCs w:val="22"/>
          <w:lang w:val="pl-PL"/>
        </w:rPr>
        <w:t>wersja serwera HPE ProLiant DL145 Gen11 została uznana za jedyny serwer stworzony specjalnie do wnioskowania AI na brzegu sieci, bazujący na procesorze graficznym NVIDIA RTX PRO 4500 Blackwell Server Edition</w:t>
      </w:r>
      <w:r>
        <w:rPr>
          <w:rFonts w:cs="Arial" w:ascii="Calibri" w:hAnsi="Calibri" w:asciiTheme="minorHAnsi" w:cstheme="minorBidi" w:hAnsiTheme="minorHAnsi"/>
          <w:sz w:val="22"/>
          <w:szCs w:val="22"/>
          <w:lang w:val="pl-PL"/>
        </w:rPr>
        <w:t xml:space="preserve">. </w:t>
      </w:r>
    </w:p>
    <w:p>
      <w:pPr>
        <w:pStyle w:val="Default"/>
        <w:rPr>
          <w:rFonts w:ascii="Calibri" w:hAnsi="Calibri" w:cs="Arial" w:asciiTheme="minorHAnsi" w:cstheme="minorBidi" w:hAnsiTheme="minorHAnsi"/>
          <w:color w:val="auto"/>
          <w:sz w:val="22"/>
          <w:szCs w:val="22"/>
          <w:lang w:val="pl-PL"/>
        </w:rPr>
      </w:pPr>
      <w:r>
        <w:rPr>
          <w:rFonts w:cs="Arial" w:cstheme="minorBidi" w:ascii="Calibri" w:hAnsi="Calibri"/>
          <w:color w:val="auto"/>
          <w:sz w:val="22"/>
          <w:szCs w:val="22"/>
          <w:lang w:val="pl-PL"/>
        </w:rPr>
      </w:r>
    </w:p>
    <w:p>
      <w:pPr>
        <w:pStyle w:val="pf0"/>
        <w:spacing w:beforeAutospacing="0" w:before="0" w:afterAutospacing="0" w:after="0"/>
        <w:rPr>
          <w:rFonts w:ascii="Calibri" w:hAnsi="Calibri" w:eastAsia="Calibri" w:cs="Calibri" w:eastAsiaTheme="minorHAnsi"/>
          <w:sz w:val="22"/>
          <w:szCs w:val="22"/>
          <w:lang w:val="pl-PL"/>
        </w:rPr>
      </w:pPr>
      <w:r>
        <w:rPr>
          <w:rFonts w:eastAsia="Calibri" w:cs="Calibri" w:ascii="Calibri" w:hAnsi="Calibri" w:eastAsiaTheme="minorHAnsi"/>
          <w:sz w:val="22"/>
          <w:szCs w:val="22"/>
          <w:lang w:val="pl-PL"/>
        </w:rPr>
        <w:t>Rozwiązanie HPE ProLiant DL145 Gen11 Premier Solution for Azure Local jest również dostępne dla klientów wdrażających usługi Azure w lokalizacjach brzegowych i wspiera Azure Local Disconnected Operations.</w:t>
      </w:r>
    </w:p>
    <w:p>
      <w:pPr>
        <w:pStyle w:val="pf0"/>
        <w:spacing w:beforeAutospacing="0" w:before="0" w:afterAutospacing="0" w:after="0"/>
        <w:rPr>
          <w:rFonts w:ascii="Calibri" w:hAnsi="Calibri" w:cs="Arial" w:asciiTheme="minorHAnsi" w:cstheme="minorBidi" w:hAnsiTheme="minorHAnsi"/>
          <w:sz w:val="22"/>
          <w:szCs w:val="22"/>
          <w:lang w:val="pl-PL"/>
        </w:rPr>
      </w:pPr>
      <w:r>
        <w:rPr>
          <w:rFonts w:cs="Arial" w:cstheme="minorBidi" w:ascii="Calibri" w:hAnsi="Calibri"/>
          <w:sz w:val="22"/>
          <w:szCs w:val="22"/>
          <w:lang w:val="pl-PL"/>
        </w:rPr>
      </w:r>
    </w:p>
    <w:p>
      <w:pPr>
        <w:pStyle w:val="Normal"/>
        <w:spacing w:before="0" w:after="0"/>
        <w:rPr>
          <w:b/>
          <w:bCs/>
          <w:color w:themeColor="text1" w:val="000000"/>
          <w:lang w:val="pl-PL"/>
        </w:rPr>
      </w:pPr>
      <w:r>
        <w:rPr>
          <w:b/>
          <w:bCs/>
          <w:color w:themeColor="text1" w:val="000000"/>
          <w:lang w:val="pl-PL"/>
        </w:rPr>
        <w:t>Spełnianie standardów dla zastosowań krytycznych w trudnych warunkach</w:t>
      </w:r>
    </w:p>
    <w:p>
      <w:pPr>
        <w:pStyle w:val="Default"/>
        <w:rPr>
          <w:rFonts w:ascii="Calibri" w:hAnsi="Calibri" w:cs="Calibri"/>
          <w:color w:val="auto"/>
          <w:sz w:val="22"/>
          <w:szCs w:val="22"/>
          <w:lang w:val="pl-PL"/>
        </w:rPr>
      </w:pPr>
      <w:r>
        <w:rPr>
          <w:rFonts w:cs="Arial" w:ascii="Calibri" w:hAnsi="Calibri" w:asciiTheme="minorHAnsi" w:cstheme="minorBidi" w:hAnsiTheme="minorHAnsi"/>
          <w:color w:val="auto"/>
          <w:sz w:val="22"/>
          <w:szCs w:val="22"/>
          <w:lang w:val="pl-PL"/>
        </w:rPr>
        <w:t>Oferta rozwiązań HPE do przetwarzania brzegowego spełnia rygorystyczne normy środowiskowe i może być wykorzystywana w trudno dostępnych lokalizacjach do wdrożeń o wysokim stopniu ryzyka, gdzie awaria mogłaby mieć poważne konsekwencje. Platformy brzegowe HPE ProLiant charakteryzują się wzmocnioną konstrukcją zgodną z powszechnie uznanymi standardami branżowymi, w tym:</w:t>
      </w:r>
    </w:p>
    <w:p>
      <w:pPr>
        <w:pStyle w:val="Default"/>
        <w:numPr>
          <w:ilvl w:val="0"/>
          <w:numId w:val="1"/>
        </w:numPr>
        <w:rPr>
          <w:rFonts w:ascii="Calibri" w:hAnsi="Calibri" w:eastAsia="Calibri" w:cs="Calibri"/>
          <w:color w:val="auto"/>
          <w:sz w:val="22"/>
          <w:szCs w:val="22"/>
          <w:lang w:val="pl-PL"/>
        </w:rPr>
      </w:pPr>
      <w:r>
        <w:rPr>
          <w:rFonts w:eastAsia="Calibri" w:cs="Calibri" w:ascii="Calibri" w:hAnsi="Calibri"/>
          <w:b/>
          <w:bCs/>
          <w:color w:val="auto"/>
          <w:sz w:val="22"/>
          <w:szCs w:val="22"/>
          <w:lang w:val="pl-PL"/>
        </w:rPr>
        <w:t>amerykańskimi normami w zakresie bezpieczeństwa narodowego,</w:t>
      </w:r>
      <w:r>
        <w:rPr>
          <w:rFonts w:eastAsia="Calibri" w:cs="Calibri" w:ascii="Calibri" w:hAnsi="Calibri"/>
          <w:color w:val="auto"/>
          <w:sz w:val="22"/>
          <w:szCs w:val="22"/>
          <w:lang w:val="pl-PL"/>
        </w:rPr>
        <w:t xml:space="preserve"> które potwierdzają odporność serwerów na rzeczywiste obciążenia, takie jak ekstremalne temperatury czy praca na dużej wysokości. Zestaw HPE Environmental Ruggedization Option Kit umożliwia spełnienie tych wymagań również w warunkach wibracji i wstrząsów.</w:t>
      </w:r>
      <w:r>
        <w:rPr>
          <w:rStyle w:val="FootnoteReference"/>
          <w:rFonts w:eastAsia="Calibri" w:cs="Calibri" w:ascii="Calibri" w:hAnsi="Calibri"/>
          <w:color w:val="auto"/>
          <w:sz w:val="22"/>
          <w:szCs w:val="22"/>
          <w:lang w:val="en-US"/>
        </w:rPr>
        <w:footnoteReference w:id="4"/>
      </w:r>
    </w:p>
    <w:p>
      <w:pPr>
        <w:pStyle w:val="Default"/>
        <w:numPr>
          <w:ilvl w:val="0"/>
          <w:numId w:val="1"/>
        </w:numPr>
        <w:rPr>
          <w:rFonts w:ascii="Calibri" w:hAnsi="Calibri" w:eastAsia="Calibri" w:cs="Calibri"/>
          <w:color w:val="auto"/>
          <w:sz w:val="22"/>
          <w:szCs w:val="22"/>
          <w:lang w:val="pl-PL"/>
        </w:rPr>
      </w:pPr>
      <w:r>
        <w:rPr>
          <w:rFonts w:eastAsia="Calibri" w:cs="Calibri" w:ascii="Calibri" w:hAnsi="Calibri"/>
          <w:b/>
          <w:bCs/>
          <w:color w:val="auto"/>
          <w:sz w:val="22"/>
          <w:szCs w:val="22"/>
          <w:lang w:val="pl-PL"/>
        </w:rPr>
        <w:t xml:space="preserve">amerykańskimi normami w zakresie bezpieczeństwa narodowego </w:t>
      </w:r>
      <w:r>
        <w:rPr>
          <w:rFonts w:eastAsia="Calibri" w:cs="Calibri" w:ascii="Calibri" w:hAnsi="Calibri"/>
          <w:color w:val="auto"/>
          <w:sz w:val="22"/>
          <w:szCs w:val="22"/>
          <w:lang w:val="pl-PL"/>
        </w:rPr>
        <w:t>dotyczącymi odporności na zakłócenia elektromagnetyczne (EMI), zapewniającymi niezawodne działanie w warunkach takich zakłóceń.</w:t>
      </w:r>
      <w:r>
        <w:rPr>
          <w:rStyle w:val="FootnoteReference"/>
          <w:rFonts w:eastAsia="Calibri" w:cs="Calibri" w:ascii="Calibri" w:hAnsi="Calibri"/>
          <w:color w:val="auto"/>
          <w:sz w:val="22"/>
          <w:szCs w:val="22"/>
          <w:lang w:val="en-US"/>
        </w:rPr>
        <w:footnoteReference w:id="5"/>
      </w:r>
    </w:p>
    <w:p>
      <w:pPr>
        <w:pStyle w:val="Default"/>
        <w:numPr>
          <w:ilvl w:val="0"/>
          <w:numId w:val="1"/>
        </w:numPr>
        <w:rPr>
          <w:rFonts w:ascii="Calibri" w:hAnsi="Calibri" w:eastAsia="Calibri" w:cs="Calibri"/>
          <w:color w:val="auto"/>
          <w:sz w:val="22"/>
          <w:szCs w:val="22"/>
          <w:lang w:val="pl-PL"/>
        </w:rPr>
      </w:pPr>
      <w:r>
        <w:rPr>
          <w:rFonts w:eastAsia="Calibri" w:cs="Calibri" w:ascii="Calibri" w:hAnsi="Calibri"/>
          <w:b/>
          <w:bCs/>
          <w:sz w:val="22"/>
          <w:szCs w:val="22"/>
          <w:lang w:val="pl-PL"/>
        </w:rPr>
        <w:t>normami dotyczącymi sprzętu dla sieci telekomunikacyjnych, które wspierają infrastrukturę sieci rdzeniowej 5G oraz sieci RAN zaprojektowanych z myślą o wskaźniku dostępności rzędu 99,999% w środowiskach bezobsługowych.</w:t>
      </w:r>
      <w:r>
        <w:rPr>
          <w:rStyle w:val="FootnoteReference"/>
          <w:rFonts w:eastAsia="Calibri" w:cs="Calibri" w:ascii="Calibri" w:hAnsi="Calibri"/>
          <w:color w:val="auto"/>
          <w:sz w:val="22"/>
          <w:szCs w:val="22"/>
          <w:lang w:val="en-US"/>
        </w:rPr>
        <w:footnoteReference w:id="6"/>
      </w:r>
    </w:p>
    <w:p>
      <w:pPr>
        <w:pStyle w:val="Default"/>
        <w:rPr>
          <w:rFonts w:ascii="Calibri" w:hAnsi="Calibri" w:cs="Arial" w:asciiTheme="minorHAnsi" w:cstheme="minorBidi" w:hAnsiTheme="minorHAnsi"/>
          <w:b/>
          <w:bCs/>
          <w:sz w:val="22"/>
          <w:szCs w:val="22"/>
          <w:lang w:val="pl-PL"/>
        </w:rPr>
      </w:pPr>
      <w:r>
        <w:rPr>
          <w:rFonts w:cs="Arial" w:cstheme="minorBidi" w:ascii="Calibri" w:hAnsi="Calibri"/>
          <w:b/>
          <w:bCs/>
          <w:sz w:val="22"/>
          <w:szCs w:val="22"/>
          <w:lang w:val="pl-PL"/>
        </w:rPr>
      </w:r>
    </w:p>
    <w:p>
      <w:pPr>
        <w:pStyle w:val="xmsonormal"/>
        <w:shd w:val="clear" w:color="auto" w:fill="FFFFFF"/>
        <w:spacing w:beforeAutospacing="0" w:before="0" w:afterAutospacing="0" w:after="0"/>
        <w:textAlignment w:val="baseline"/>
        <w:rPr>
          <w:rFonts w:ascii="Calibri" w:hAnsi="Calibri" w:cs="Calibri" w:asciiTheme="minorHAnsi" w:cstheme="minorHAnsi" w:hAnsiTheme="minorHAnsi"/>
          <w:b/>
          <w:bCs/>
          <w:color w:val="000000"/>
          <w:sz w:val="22"/>
          <w:szCs w:val="22"/>
          <w:lang w:val="pl-PL"/>
        </w:rPr>
      </w:pPr>
      <w:r>
        <w:rPr>
          <w:rFonts w:cs="Calibri" w:ascii="Calibri" w:hAnsi="Calibri" w:asciiTheme="minorHAnsi" w:cstheme="minorHAnsi" w:hAnsiTheme="minorHAnsi"/>
          <w:b/>
          <w:bCs/>
          <w:color w:val="000000"/>
          <w:sz w:val="22"/>
          <w:szCs w:val="22"/>
          <w:lang w:val="pl-PL"/>
        </w:rPr>
        <w:t>Stworzone z myślą o bezpiecznych operacjach brzegowych opartych na AI</w:t>
      </w:r>
    </w:p>
    <w:p>
      <w:pPr>
        <w:pStyle w:val="xmsonormal"/>
        <w:shd w:val="clear" w:color="auto" w:fill="FFFFFF"/>
        <w:spacing w:beforeAutospacing="0" w:before="0" w:afterAutospacing="0" w:after="0"/>
        <w:textAlignment w:val="baseline"/>
        <w:rPr>
          <w:rFonts w:ascii="Calibri" w:hAnsi="Calibri" w:cs="Calibri" w:asciiTheme="minorHAnsi" w:cstheme="minorHAnsi" w:hAnsiTheme="minorHAnsi"/>
          <w:color w:val="242424"/>
          <w:lang w:val="pl-PL"/>
        </w:rPr>
      </w:pPr>
      <w:r>
        <w:rPr>
          <w:rFonts w:cs="Calibri" w:ascii="Calibri" w:hAnsi="Calibri" w:asciiTheme="minorHAnsi" w:cstheme="minorHAnsi" w:hAnsiTheme="minorHAnsi"/>
          <w:color w:val="000000"/>
          <w:sz w:val="22"/>
          <w:szCs w:val="22"/>
          <w:lang w:val="pl-PL"/>
        </w:rPr>
        <w:t>Środowiska brzegowe są często rozproszone, obsługiwane przez nieliczny personel i narażone na zagrożenia. Systemy brzegowe HPE ProLiant łączą technologie Integrated Lights-out (iLO) i HPE Compute Ops Management, zapewniając zgodność z przepisami, bezpieczeństwo i scentralizowane sterowanie w tych skomplikowanych i wymagających środowiskach. Rozwiązania brzegowe HPE wyróżniają się łatwiejszym procesem wdrażania, zapewnieniem ciągłej widoczności oraz utrzymaniem kompleksowego bezpieczeństwa w rozproszonych lokalizacjach brzegowych.</w:t>
      </w:r>
    </w:p>
    <w:p>
      <w:pPr>
        <w:pStyle w:val="Default"/>
        <w:rPr>
          <w:rFonts w:ascii="Calibri" w:hAnsi="Calibri" w:cs="Calibri" w:asciiTheme="minorHAnsi" w:cstheme="minorHAnsi" w:hAnsiTheme="minorHAnsi"/>
          <w:color w:val="auto"/>
          <w:sz w:val="22"/>
          <w:szCs w:val="22"/>
          <w:lang w:val="pl-PL"/>
        </w:rPr>
      </w:pPr>
      <w:r>
        <w:rPr>
          <w:rFonts w:cs="Calibri" w:cstheme="minorHAnsi" w:ascii="Calibri" w:hAnsi="Calibri"/>
          <w:color w:val="auto"/>
          <w:sz w:val="22"/>
          <w:szCs w:val="22"/>
          <w:lang w:val="pl-PL"/>
        </w:rPr>
      </w:r>
    </w:p>
    <w:p>
      <w:pPr>
        <w:pStyle w:val="Default"/>
        <w:rPr>
          <w:rFonts w:ascii="Calibri" w:hAnsi="Calibri" w:cs="Calibri" w:asciiTheme="minorHAnsi" w:cstheme="minorHAnsi" w:hAnsiTheme="minorHAnsi"/>
          <w:b/>
          <w:bCs/>
          <w:color w:val="auto"/>
          <w:sz w:val="22"/>
          <w:szCs w:val="22"/>
          <w:lang w:val="en-US"/>
        </w:rPr>
      </w:pPr>
      <w:r>
        <w:rPr>
          <w:rFonts w:cs="Calibri" w:ascii="Calibri" w:hAnsi="Calibri" w:asciiTheme="minorHAnsi" w:cstheme="minorHAnsi" w:hAnsiTheme="minorHAnsi"/>
          <w:b/>
          <w:bCs/>
          <w:color w:val="auto"/>
          <w:sz w:val="22"/>
          <w:szCs w:val="22"/>
          <w:lang w:val="en-US"/>
        </w:rPr>
        <w:t>Zasoby:</w:t>
      </w:r>
    </w:p>
    <w:p>
      <w:pPr>
        <w:pStyle w:val="Default"/>
        <w:numPr>
          <w:ilvl w:val="0"/>
          <w:numId w:val="4"/>
        </w:numPr>
        <w:rPr>
          <w:rFonts w:ascii="Calibri" w:hAnsi="Calibri" w:cs="Calibri" w:asciiTheme="minorHAnsi" w:cstheme="minorHAnsi" w:hAnsiTheme="minorHAnsi"/>
          <w:b/>
          <w:bCs/>
          <w:color w:val="auto"/>
          <w:sz w:val="22"/>
          <w:szCs w:val="22"/>
          <w:lang w:val="en-US"/>
        </w:rPr>
      </w:pPr>
      <w:hyperlink r:id="rId5">
        <w:r>
          <w:rPr>
            <w:rStyle w:val="Hyperlink"/>
            <w:rFonts w:cs="Calibri" w:ascii="Calibri" w:hAnsi="Calibri" w:asciiTheme="minorHAnsi" w:cstheme="minorHAnsi" w:hAnsiTheme="minorHAnsi"/>
            <w:sz w:val="22"/>
            <w:szCs w:val="22"/>
            <w:lang w:val="en-US"/>
          </w:rPr>
          <w:t>The edge does not forgive data center thinking</w:t>
        </w:r>
      </w:hyperlink>
      <w:r>
        <w:rPr>
          <w:rFonts w:cs="Calibri" w:ascii="Calibri" w:hAnsi="Calibri" w:asciiTheme="minorHAnsi" w:cstheme="minorHAnsi" w:hAnsiTheme="minorHAnsi"/>
          <w:b/>
          <w:bCs/>
          <w:color w:val="auto"/>
          <w:sz w:val="22"/>
          <w:szCs w:val="22"/>
          <w:lang w:val="en-US"/>
        </w:rPr>
        <w:t xml:space="preserve"> </w:t>
      </w:r>
      <w:r>
        <w:rPr>
          <w:rFonts w:cs="Calibri" w:ascii="Calibri" w:hAnsi="Calibri" w:asciiTheme="minorHAnsi" w:cstheme="minorHAnsi" w:hAnsiTheme="minorHAnsi"/>
          <w:color w:val="auto"/>
          <w:sz w:val="22"/>
          <w:szCs w:val="22"/>
          <w:lang w:val="en-US"/>
        </w:rPr>
        <w:t>[Blog]</w:t>
      </w:r>
    </w:p>
    <w:p>
      <w:pPr>
        <w:pStyle w:val="Default"/>
        <w:rPr>
          <w:rFonts w:ascii="Calibri" w:hAnsi="Calibri" w:cs="Calibri" w:asciiTheme="minorHAnsi" w:cstheme="minorHAnsi" w:hAnsiTheme="minorHAnsi"/>
          <w:b/>
          <w:bCs/>
          <w:color w:val="auto"/>
          <w:sz w:val="22"/>
          <w:szCs w:val="22"/>
          <w:lang w:val="en-US"/>
        </w:rPr>
      </w:pPr>
      <w:r>
        <w:rPr>
          <w:rFonts w:cs="Calibri" w:cstheme="minorHAnsi" w:ascii="Calibri" w:hAnsi="Calibri"/>
          <w:b/>
          <w:bCs/>
          <w:color w:val="auto"/>
          <w:sz w:val="22"/>
          <w:szCs w:val="22"/>
          <w:lang w:val="en-US"/>
        </w:rPr>
      </w:r>
    </w:p>
    <w:p>
      <w:pPr>
        <w:pStyle w:val="Default"/>
        <w:rPr>
          <w:rFonts w:ascii="Calibri" w:hAnsi="Calibri" w:cs="Calibri" w:asciiTheme="minorHAnsi" w:cstheme="minorHAnsi" w:hAnsiTheme="minorHAnsi"/>
          <w:color w:val="auto"/>
          <w:sz w:val="22"/>
          <w:szCs w:val="22"/>
          <w:lang w:val="en-US"/>
        </w:rPr>
      </w:pPr>
      <w:r>
        <w:rPr>
          <w:rFonts w:cs="Calibri" w:ascii="Calibri" w:hAnsi="Calibri" w:asciiTheme="minorHAnsi" w:cstheme="minorHAnsi" w:hAnsiTheme="minorHAnsi"/>
          <w:b/>
          <w:bCs/>
          <w:color w:val="auto"/>
          <w:sz w:val="22"/>
          <w:szCs w:val="22"/>
          <w:lang w:val="en-US"/>
        </w:rPr>
        <w:t>Dostępność</w:t>
      </w:r>
      <w:r>
        <w:rPr>
          <w:rFonts w:cs="Calibri" w:ascii="Calibri" w:hAnsi="Calibri" w:asciiTheme="minorHAnsi" w:cstheme="minorHAnsi" w:hAnsiTheme="minorHAnsi"/>
          <w:color w:val="auto"/>
          <w:sz w:val="22"/>
          <w:szCs w:val="22"/>
          <w:lang w:val="en-US"/>
        </w:rPr>
        <w:t>:</w:t>
      </w:r>
    </w:p>
    <w:p>
      <w:pPr>
        <w:pStyle w:val="Default"/>
        <w:numPr>
          <w:ilvl w:val="0"/>
          <w:numId w:val="2"/>
        </w:numPr>
        <w:rPr>
          <w:rFonts w:ascii="Calibri" w:hAnsi="Calibri" w:cs="Arial" w:asciiTheme="minorHAnsi" w:cstheme="minorBidi" w:hAnsiTheme="minorHAnsi"/>
          <w:color w:val="auto"/>
          <w:sz w:val="22"/>
          <w:szCs w:val="22"/>
          <w:lang w:val="pl-PL"/>
        </w:rPr>
      </w:pPr>
      <w:r>
        <w:rPr>
          <w:rFonts w:cs="Arial" w:ascii="Calibri" w:hAnsi="Calibri" w:asciiTheme="minorHAnsi" w:cstheme="minorBidi" w:hAnsiTheme="minorHAnsi"/>
          <w:color w:val="auto"/>
          <w:sz w:val="22"/>
          <w:szCs w:val="22"/>
          <w:lang w:val="pl-PL"/>
        </w:rPr>
        <w:t>Obudowa HPE ProLiant Compute EL2000 oraz serwery HPE ProLiant Compute EL220 i EL240 Gen12 będą dostępne jeszcze w 2026 r.</w:t>
      </w:r>
    </w:p>
    <w:p>
      <w:pPr>
        <w:pStyle w:val="Default"/>
        <w:numPr>
          <w:ilvl w:val="0"/>
          <w:numId w:val="2"/>
        </w:numPr>
        <w:rPr>
          <w:rFonts w:ascii="Calibri" w:hAnsi="Calibri" w:cs="Arial" w:asciiTheme="minorHAnsi" w:cstheme="minorBidi" w:hAnsiTheme="minorHAnsi"/>
          <w:color w:val="auto"/>
          <w:sz w:val="22"/>
          <w:szCs w:val="22"/>
          <w:lang w:val="en-US"/>
        </w:rPr>
      </w:pPr>
      <w:r>
        <w:rPr>
          <w:rFonts w:cs="Arial" w:ascii="Calibri" w:hAnsi="Calibri" w:asciiTheme="minorHAnsi" w:cstheme="minorBidi" w:hAnsiTheme="minorHAnsi"/>
          <w:color w:val="auto"/>
          <w:sz w:val="22"/>
          <w:szCs w:val="22"/>
          <w:lang w:val="en-US"/>
        </w:rPr>
        <w:t xml:space="preserve">Rozbudowany HPE ProLiant DL145 Gen11 oraz zestaw Environmental Ruggedization Option Kit są już dostępne. </w:t>
      </w:r>
    </w:p>
    <w:p>
      <w:pPr>
        <w:pStyle w:val="Default"/>
        <w:numPr>
          <w:ilvl w:val="0"/>
          <w:numId w:val="2"/>
        </w:numPr>
        <w:rPr>
          <w:rFonts w:ascii="Calibri" w:hAnsi="Calibri" w:cs="Arial" w:asciiTheme="minorHAnsi" w:cstheme="minorBidi" w:hAnsiTheme="minorHAnsi"/>
          <w:color w:val="auto"/>
          <w:sz w:val="22"/>
          <w:szCs w:val="22"/>
          <w:lang w:val="en-US"/>
        </w:rPr>
      </w:pPr>
      <w:r>
        <w:rPr>
          <w:rFonts w:cs="Arial" w:ascii="Calibri" w:hAnsi="Calibri" w:asciiTheme="minorHAnsi" w:cstheme="minorBidi" w:hAnsiTheme="minorHAnsi"/>
          <w:color w:val="auto"/>
          <w:sz w:val="22"/>
          <w:szCs w:val="22"/>
          <w:lang w:val="en-US"/>
        </w:rPr>
        <w:t>Rozwiązanie HPE ProLiant DL145 Gen11 Server Premier Solution for Azure Local będzie dostępne w maju 2026 r.</w:t>
      </w:r>
    </w:p>
    <w:p>
      <w:pPr>
        <w:pStyle w:val="Default"/>
        <w:rPr>
          <w:rFonts w:ascii="Calibri" w:hAnsi="Calibri" w:cs="Calibri" w:asciiTheme="minorHAnsi" w:cstheme="minorHAnsi" w:hAnsiTheme="minorHAnsi"/>
          <w:color w:val="auto"/>
          <w:sz w:val="22"/>
          <w:szCs w:val="22"/>
          <w:lang w:val="en-US"/>
        </w:rPr>
      </w:pPr>
      <w:r>
        <w:rPr>
          <w:rFonts w:cs="Calibri" w:cstheme="minorHAnsi" w:ascii="Calibri" w:hAnsi="Calibri"/>
          <w:color w:val="auto"/>
          <w:sz w:val="22"/>
          <w:szCs w:val="22"/>
          <w:lang w:val="en-US"/>
        </w:rPr>
      </w:r>
    </w:p>
    <w:p>
      <w:pPr>
        <w:pStyle w:val="Default"/>
        <w:rPr>
          <w:rFonts w:ascii="Calibri" w:hAnsi="Calibri" w:cs="Arial" w:asciiTheme="minorHAnsi" w:cstheme="minorBidi" w:hAnsiTheme="minorHAnsi"/>
          <w:color w:val="auto"/>
          <w:sz w:val="22"/>
          <w:szCs w:val="22"/>
          <w:lang w:val="pl-PL"/>
        </w:rPr>
      </w:pPr>
      <w:r>
        <w:rPr>
          <w:rFonts w:cs="Arial" w:ascii="Calibri" w:hAnsi="Calibri" w:asciiTheme="minorHAnsi" w:cstheme="minorBidi" w:hAnsiTheme="minorHAnsi"/>
          <w:color w:val="auto"/>
          <w:sz w:val="22"/>
          <w:szCs w:val="22"/>
          <w:lang w:val="pl-PL"/>
        </w:rPr>
        <w:t>Powyższe platformy można nabyć w ramach programu 90/9 Advantage oferowanego przez HPE Financial Service, obejmującego brak rat przez 90 dni i kolejnych 9 miesięcy z oprocentowaniem 1%. </w:t>
      </w:r>
    </w:p>
    <w:p>
      <w:pPr>
        <w:pStyle w:val="Default"/>
        <w:rPr>
          <w:rFonts w:ascii="Calibri" w:hAnsi="Calibri" w:cs="Calibri" w:asciiTheme="minorHAnsi" w:cstheme="minorHAnsi" w:hAnsiTheme="minorHAnsi"/>
          <w:color w:val="auto"/>
          <w:sz w:val="22"/>
          <w:szCs w:val="22"/>
          <w:lang w:val="pl-PL"/>
        </w:rPr>
      </w:pPr>
      <w:r>
        <w:rPr>
          <w:rFonts w:cs="Calibri" w:cstheme="minorHAnsi" w:ascii="Calibri" w:hAnsi="Calibri"/>
          <w:color w:val="auto"/>
          <w:sz w:val="22"/>
          <w:szCs w:val="22"/>
          <w:lang w:val="pl-PL"/>
        </w:rPr>
      </w:r>
    </w:p>
    <w:p>
      <w:pPr>
        <w:pStyle w:val="Default"/>
        <w:rPr>
          <w:rFonts w:ascii="Calibri" w:hAnsi="Calibri" w:cs="Calibri"/>
          <w:b/>
          <w:bCs/>
          <w:sz w:val="22"/>
          <w:szCs w:val="22"/>
          <w:lang w:val="pl-PL"/>
        </w:rPr>
      </w:pPr>
      <w:r>
        <w:rPr>
          <w:rFonts w:cs="Calibri" w:ascii="Calibri" w:hAnsi="Calibri"/>
          <w:b/>
          <w:bCs/>
          <w:sz w:val="22"/>
          <w:szCs w:val="22"/>
          <w:lang w:val="pl-PL"/>
        </w:rPr>
        <w:t>O firmie Hewlett Packard Enterprise</w:t>
      </w:r>
    </w:p>
    <w:p>
      <w:pPr>
        <w:pStyle w:val="Default"/>
        <w:rPr>
          <w:rFonts w:ascii="Calibri" w:hAnsi="Calibri" w:cs="Calibri"/>
          <w:color w:val="auto"/>
          <w:sz w:val="22"/>
          <w:szCs w:val="22"/>
          <w:lang w:val="pl-PL"/>
        </w:rPr>
      </w:pPr>
      <w:r>
        <w:rPr>
          <w:rFonts w:cs="Calibri" w:ascii="Calibri" w:hAnsi="Calibri"/>
          <w:sz w:val="22"/>
          <w:szCs w:val="22"/>
          <w:lang w:val="pl-PL"/>
        </w:rPr>
        <w:t>HPE (NYSE: HPE) jest liderem w zakresie kluczowych technologii korporacyjnych łączącym moc sztucznej inteligencji, rozwiązań chmurowych i sieciowych, aby pomóc klientom osiągnąć więcej. Rozszerzamy granice tego co możliwe, a nasza innowacyjność i wiedza fachowa zmieniają sposób, w jaki ludzie żyją i pracują. Umożliwiamy naszym klientom w różnych branżach optymalizację wydajności operacyjnej, przekształcanie danych w prognozy i maksymalizację ich wpływu. Zrealizuj swoje najśmielsze ambicje wraz z HPE. Dowiedz się więcej na www.hpe.com.</w:t>
      </w:r>
    </w:p>
    <w:p>
      <w:pPr>
        <w:pStyle w:val="Default"/>
        <w:rPr>
          <w:rFonts w:ascii="Calibri" w:hAnsi="Calibri" w:cs="Calibri"/>
          <w:sz w:val="22"/>
          <w:szCs w:val="22"/>
          <w:lang w:val="pl-PL"/>
        </w:rPr>
      </w:pPr>
      <w:r>
        <w:rPr/>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Arial">
    <w:charset w:val="ee" w:characterSet="windows-1250"/>
    <w:family w:val="swiss"/>
    <w:pitch w:val="variable"/>
  </w:font>
  <w:font w:name="HP Simplified">
    <w:charset w:val="ee" w:characterSet="windows-1250"/>
    <w:family w:val="swiss"/>
    <w:pitch w:val="variable"/>
  </w:font>
  <w:font w:name="Times New Roman">
    <w:charset w:val="ee" w:characterSet="windows-1250"/>
    <w:family w:val="roman"/>
    <w:pitch w:val="variable"/>
  </w:font>
  <w:font w:name="Aptos Display">
    <w:charset w:val="ee" w:characterSet="windows-1250"/>
    <w:family w:val="swiss"/>
    <w:pitch w:val="variable"/>
  </w:font>
  <w:font w:name="Calibri">
    <w:charset w:val="ee" w:characterSet="windows-1250"/>
    <w:family w:val="swiss"/>
    <w:pitch w:val="variable"/>
  </w:font>
  <w:font w:name="Aptos">
    <w:charset w:val="ee" w:characterSet="windows-1250"/>
    <w:family w:val="swiss"/>
    <w:pitch w:val="variable"/>
  </w:font>
  <w:font w:name="MetricHPE">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15240" simplePos="0" relativeHeight="3" behindDoc="1" locked="0" layoutInCell="0" allowOverlap="1" wp14:anchorId="67814D0B">
              <wp:simplePos x="0" y="0"/>
              <wp:positionH relativeFrom="page">
                <wp:align>center</wp:align>
              </wp:positionH>
              <wp:positionV relativeFrom="page">
                <wp:align>bottom</wp:align>
              </wp:positionV>
              <wp:extent cx="3108960" cy="357505"/>
              <wp:effectExtent l="0" t="635" r="0" b="0"/>
              <wp:wrapNone/>
              <wp:docPr id="2" name="Pole tekstowe 2" descr="Confidential - Not for Public Consumption or Distribution"/>
              <a:graphic xmlns:a="http://schemas.openxmlformats.org/drawingml/2006/main">
                <a:graphicData uri="http://schemas.microsoft.com/office/word/2010/wordprocessingShape">
                  <wps:wsp>
                    <wps:cNvSpPr/>
                    <wps:spPr>
                      <a:xfrm>
                        <a:off x="0" y="0"/>
                        <a:ext cx="3108960" cy="35748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rIns="0" tIns="0" bIns="190440" anchor="b">
                      <a:prstTxWarp prst="textNoShape"/>
                      <a:spAutoFit/>
                    </wps:bodyPr>
                  </wps:wsp>
                </a:graphicData>
              </a:graphic>
            </wp:anchor>
          </w:drawing>
        </mc:Choice>
        <mc:Fallback>
          <w:pict>
            <v:rect id="shape_0" stroked="f" o:allowincell="f" style="position:absolute;margin-left:0pt;margin-top:0pt;width:244.75pt;height:28.1pt;mso-wrap-style:none;v-text-anchor:bottom;mso-position-horizontal:center;mso-position-horizontal-relative:page;mso-position-vertical:bottom;mso-position-vertical-relative:page" wp14:anchorId="67814D0B">
              <v:fill o:detectmouseclick="t" on="false"/>
              <v:stroke color="#3465a4" joinstyle="round" endcap="flat"/>
              <v:textbo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start"/>
      <w:tblInd w:w="0" w:type="dxa"/>
      <w:tblLayout w:type="fixed"/>
      <w:tblCellMar>
        <w:top w:w="0" w:type="dxa"/>
        <w:start w:w="108" w:type="dxa"/>
        <w:bottom w:w="0" w:type="dxa"/>
        <w:end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Header"/>
            <w:ind w:start="-115"/>
            <w:rPr/>
          </w:pPr>
          <w:r>
            <w:rPr/>
            <mc:AlternateContent>
              <mc:Choice Requires="wps">
                <w:drawing>
                  <wp:anchor distT="0" distB="0" distL="0" distR="635" simplePos="0" relativeHeight="8" behindDoc="1" locked="0" layoutInCell="1" allowOverlap="1" wp14:anchorId="70E35C94">
                    <wp:simplePos x="0" y="0"/>
                    <wp:positionH relativeFrom="column">
                      <wp:align>center</wp:align>
                    </wp:positionH>
                    <wp:positionV relativeFrom="margin">
                      <wp:align>top</wp:align>
                    </wp:positionV>
                    <wp:extent cx="1842770" cy="492760"/>
                    <wp:effectExtent l="0" t="0" r="635" b="0"/>
                    <wp:wrapNone/>
                    <wp:docPr id="3" name="Pole tekstowe 3" descr="Confidential - Not for Public Consumption or Distribution"/>
                    <a:graphic xmlns:a="http://schemas.openxmlformats.org/drawingml/2006/main">
                      <a:graphicData uri="http://schemas.microsoft.com/office/word/2010/wordprocessingShape">
                        <wps:wsp>
                          <wps:cNvSpPr/>
                          <wps:spPr>
                            <a:xfrm>
                              <a:off x="0" y="0"/>
                              <a:ext cx="1842840" cy="49284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rIns="0" tIns="0" bIns="190440" anchor="b">
                            <a:prstTxWarp prst="textNoShape"/>
                            <a:spAutoFit/>
                          </wps:bodyPr>
                        </wps:wsp>
                      </a:graphicData>
                    </a:graphic>
                  </wp:anchor>
                </w:drawing>
              </mc:Choice>
              <mc:Fallback>
                <w:pict>
                  <v:rect id="shape_0" stroked="f" o:allowincell="t" style="position:absolute;margin-left:-2.85pt;margin-top:0pt;width:145.05pt;height:38.75pt;mso-wrap-style:none;v-text-anchor:bottom;mso-position-horizontal:center;mso-position-vertical:top;mso-position-vertical-relative:margin" wp14:anchorId="70E35C94">
                    <v:fill o:detectmouseclick="t" on="false"/>
                    <v:stroke color="#3465a4" joinstyle="round" endcap="flat"/>
                    <v:textbo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tc>
      <w:tc>
        <w:tcPr>
          <w:tcW w:w="3005" w:type="dxa"/>
          <w:tcBorders/>
        </w:tcPr>
        <w:p>
          <w:pPr>
            <w:pStyle w:val="Header"/>
            <w:jc w:val="center"/>
            <w:rPr/>
          </w:pPr>
          <w:r>
            <w:rPr/>
          </w:r>
        </w:p>
      </w:tc>
      <w:tc>
        <w:tcPr>
          <w:tcW w:w="3005" w:type="dxa"/>
          <w:tcBorders/>
        </w:tcPr>
        <w:p>
          <w:pPr>
            <w:pStyle w:val="Header"/>
            <w:ind w:end="-115"/>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start"/>
      <w:tblInd w:w="0" w:type="dxa"/>
      <w:tblLayout w:type="fixed"/>
      <w:tblCellMar>
        <w:top w:w="0" w:type="dxa"/>
        <w:start w:w="108" w:type="dxa"/>
        <w:bottom w:w="0" w:type="dxa"/>
        <w:end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Header"/>
            <w:ind w:start="-115"/>
            <w:rPr/>
          </w:pPr>
          <w:r>
            <w:rPr/>
            <mc:AlternateContent>
              <mc:Choice Requires="wps">
                <w:drawing>
                  <wp:anchor distT="0" distB="0" distL="0" distR="635" simplePos="0" relativeHeight="8" behindDoc="1" locked="0" layoutInCell="1" allowOverlap="1" wp14:anchorId="70E35C94">
                    <wp:simplePos x="0" y="0"/>
                    <wp:positionH relativeFrom="column">
                      <wp:align>center</wp:align>
                    </wp:positionH>
                    <wp:positionV relativeFrom="margin">
                      <wp:align>top</wp:align>
                    </wp:positionV>
                    <wp:extent cx="1842770" cy="492760"/>
                    <wp:effectExtent l="0" t="0" r="635" b="0"/>
                    <wp:wrapNone/>
                    <wp:docPr id="4" name="Pole tekstowe 3" descr="Confidential - Not for Public Consumption or Distribution"/>
                    <a:graphic xmlns:a="http://schemas.openxmlformats.org/drawingml/2006/main">
                      <a:graphicData uri="http://schemas.microsoft.com/office/word/2010/wordprocessingShape">
                        <wps:wsp>
                          <wps:cNvSpPr/>
                          <wps:spPr>
                            <a:xfrm>
                              <a:off x="0" y="0"/>
                              <a:ext cx="1842840" cy="49284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rIns="0" tIns="0" bIns="190440" anchor="b">
                            <a:prstTxWarp prst="textNoShape"/>
                            <a:spAutoFit/>
                          </wps:bodyPr>
                        </wps:wsp>
                      </a:graphicData>
                    </a:graphic>
                  </wp:anchor>
                </w:drawing>
              </mc:Choice>
              <mc:Fallback>
                <w:pict>
                  <v:rect id="shape_0" stroked="f" o:allowincell="t" style="position:absolute;margin-left:-2.85pt;margin-top:0pt;width:145.05pt;height:38.75pt;mso-wrap-style:none;v-text-anchor:bottom;mso-position-horizontal:center;mso-position-vertical:top;mso-position-vertical-relative:margin" wp14:anchorId="70E35C94">
                    <v:fill o:detectmouseclick="t" on="false"/>
                    <v:stroke color="#3465a4" joinstyle="round" endcap="flat"/>
                    <v:textbox>
                      <w:txbxContent>
                        <w:p>
                          <w:pPr>
                            <w:pStyle w:val="Zawartoramki"/>
                            <w:spacing w:before="0" w:after="0"/>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tc>
      <w:tc>
        <w:tcPr>
          <w:tcW w:w="3005" w:type="dxa"/>
          <w:tcBorders/>
        </w:tcPr>
        <w:p>
          <w:pPr>
            <w:pStyle w:val="Header"/>
            <w:jc w:val="center"/>
            <w:rPr/>
          </w:pPr>
          <w:r>
            <w:rPr/>
          </w:r>
        </w:p>
      </w:tc>
      <w:tc>
        <w:tcPr>
          <w:tcW w:w="3005" w:type="dxa"/>
          <w:tcBorders/>
        </w:tcPr>
        <w:p>
          <w:pPr>
            <w:pStyle w:val="Header"/>
            <w:ind w:end="-115"/>
            <w:jc w:val="end"/>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0"/>
        <w:rPr>
          <w:rFonts w:ascii="Calibri" w:hAnsi="Calibri" w:eastAsia="Calibri" w:cs="Arial"/>
          <w:i/>
          <w:iCs/>
          <w:lang w:val="pl-PL"/>
        </w:rPr>
      </w:pPr>
      <w:r>
        <w:rPr>
          <w:rStyle w:val="Znakiprzypiswdolnych"/>
        </w:rPr>
        <w:footnoteRef/>
      </w:r>
      <w:r>
        <w:rPr>
          <w:rFonts w:eastAsia="Calibri" w:cs="Arial" w:ascii="Calibri" w:hAnsi="Calibri"/>
          <w:lang w:val="pl-PL"/>
        </w:rPr>
        <w:t xml:space="preserve"> </w:t>
      </w:r>
      <w:r>
        <w:rPr>
          <w:rFonts w:eastAsia="Calibri" w:cs="Arial" w:ascii="Calibri" w:hAnsi="Calibri"/>
          <w:i/>
          <w:iCs/>
          <w:sz w:val="20"/>
          <w:szCs w:val="20"/>
          <w:lang w:val="pl-PL"/>
        </w:rPr>
        <w:t>W zależności od konfiguracji</w:t>
      </w:r>
    </w:p>
  </w:footnote>
  <w:footnote w:id="3">
    <w:p>
      <w:pPr>
        <w:pStyle w:val="FootnoteText"/>
        <w:rPr>
          <w:i/>
          <w:iCs/>
          <w:lang w:val="pl-PL"/>
        </w:rPr>
      </w:pPr>
      <w:r>
        <w:rPr>
          <w:rStyle w:val="Znakiprzypiswdolnych"/>
        </w:rPr>
        <w:footnoteRef/>
      </w:r>
      <w:r>
        <w:rPr>
          <w:rFonts w:eastAsia="MetricHPE" w:cs="MetricHPE" w:ascii="MetricHPE" w:hAnsi="MetricHPE"/>
          <w:i/>
          <w:iCs/>
          <w:lang w:val="pl-PL"/>
        </w:rPr>
        <w:t xml:space="preserve"> </w:t>
      </w:r>
      <w:r>
        <w:rPr>
          <w:rFonts w:eastAsia="MetricHPE" w:cs="MetricHPE" w:ascii="MetricHPE" w:hAnsi="MetricHPE"/>
          <w:i/>
          <w:iCs/>
          <w:lang w:val="pl-PL"/>
        </w:rPr>
        <w:t>W zależności od konfiguracji</w:t>
      </w:r>
    </w:p>
  </w:footnote>
  <w:footnote w:id="4">
    <w:p>
      <w:pPr>
        <w:pStyle w:val="FootnoteText"/>
        <w:rPr>
          <w:i/>
          <w:iCs/>
          <w:lang w:val="pl-PL"/>
        </w:rPr>
      </w:pPr>
      <w:r>
        <w:rPr>
          <w:rStyle w:val="Znakiprzypiswdolnych"/>
        </w:rPr>
        <w:footnoteRef/>
      </w:r>
      <w:r>
        <w:rPr>
          <w:rFonts w:eastAsia="MetricHPE" w:cs="MetricHPE" w:ascii="MetricHPE" w:hAnsi="MetricHPE"/>
          <w:lang w:val="pl-PL"/>
        </w:rPr>
        <w:t xml:space="preserve"> </w:t>
      </w:r>
      <w:r>
        <w:rPr>
          <w:rFonts w:eastAsia="MetricHPE" w:cs="MetricHPE" w:ascii="MetricHPE" w:hAnsi="MetricHPE"/>
          <w:i/>
          <w:iCs/>
          <w:lang w:val="pl-PL"/>
        </w:rPr>
        <w:t xml:space="preserve">MIL-STD-810H – NORMA DEPARTAMENTU OBRONY DOT. METODYKI TESTOWANIA: Zagadnienia inżynierii środowiskowej i testy laboratoryjne dotyczące ekstremalnych temperatur, wibracji i wstrząsów (31 stycznia 2019 r.) (65 MB). </w:t>
      </w:r>
    </w:p>
  </w:footnote>
  <w:footnote w:id="5">
    <w:p>
      <w:pPr>
        <w:pStyle w:val="FootnoteText"/>
        <w:rPr>
          <w:lang w:val="pl-PL"/>
        </w:rPr>
      </w:pPr>
      <w:r>
        <w:rPr>
          <w:rStyle w:val="Znakiprzypiswdolnych"/>
        </w:rPr>
        <w:footnoteRef/>
      </w:r>
      <w:r>
        <w:rPr>
          <w:rFonts w:eastAsia="MetricHPE" w:cs="MetricHPE" w:ascii="MetricHPE" w:hAnsi="MetricHPE"/>
          <w:lang w:val="pl-PL"/>
        </w:rPr>
        <w:t xml:space="preserve"> </w:t>
      </w:r>
      <w:r>
        <w:rPr>
          <w:rFonts w:eastAsia="MetricHPE" w:cs="MetricHPE" w:ascii="MetricHPE" w:hAnsi="MetricHPE"/>
          <w:i/>
          <w:iCs/>
          <w:lang w:val="pl-PL"/>
        </w:rPr>
        <w:t>MIL-STD-461G – NORMA DEPARTAMENTU OBRONY DOT. INTERFEJSÓW: Wymagania dotyczące kontroli charakterystyki elektromagnetycznych zakłóceń podsystemów i sprzętu (11 grudnia 2015 r.).</w:t>
      </w:r>
    </w:p>
  </w:footnote>
  <w:footnote w:id="6">
    <w:p>
      <w:pPr>
        <w:pStyle w:val="FootnoteText"/>
        <w:rPr>
          <w:lang w:val="pl-PL"/>
        </w:rPr>
      </w:pPr>
      <w:r>
        <w:rPr>
          <w:rStyle w:val="Znakiprzypiswdolnych"/>
        </w:rPr>
        <w:footnoteRef/>
      </w:r>
      <w:r>
        <w:rPr>
          <w:rFonts w:eastAsia="MetricHPE" w:cs="MetricHPE" w:ascii="MetricHPE" w:hAnsi="MetricHPE"/>
          <w:lang w:val="pl-PL"/>
        </w:rPr>
        <w:t xml:space="preserve"> </w:t>
      </w:r>
      <w:r>
        <w:rPr>
          <w:rFonts w:eastAsia="MetricHPE" w:cs="MetricHPE" w:ascii="MetricHPE" w:hAnsi="MetricHPE"/>
          <w:i/>
          <w:iCs/>
          <w:lang w:val="pl-PL"/>
        </w:rPr>
        <w:t>Zgodność z normą NEBS (Network Equipment Building System) poziomu 3 dla wdrożeń zdalnych określa, czy sprzęt spełnia wszystkie wymagania norm GR-63-CORE i GR-1089-CORE obejmujące takie obszary, jak zdarzenia sejsmiczne, właściwości termiczne i odporność ogniowa.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contextualSpacing/>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contextualSpacing/>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90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83dbc"/>
    <w:rPr>
      <w:color w:themeColor="hyperlink" w:val="0563C1"/>
      <w:u w:val="single"/>
    </w:rPr>
  </w:style>
  <w:style w:type="character" w:styleId="UnresolvedMention1" w:customStyle="1">
    <w:name w:val="Unresolved Mention1"/>
    <w:basedOn w:val="DefaultParagraphFont"/>
    <w:uiPriority w:val="99"/>
    <w:semiHidden/>
    <w:unhideWhenUsed/>
    <w:qFormat/>
    <w:rsid w:val="00483dbc"/>
    <w:rPr>
      <w:color w:val="605E5C"/>
      <w:shd w:fill="E1DFDD" w:val="clear"/>
    </w:rPr>
  </w:style>
  <w:style w:type="character" w:styleId="CommentReference">
    <w:name w:val="annotation reference"/>
    <w:basedOn w:val="DefaultParagraphFont"/>
    <w:uiPriority w:val="99"/>
    <w:semiHidden/>
    <w:unhideWhenUsed/>
    <w:qFormat/>
    <w:rsid w:val="003d64de"/>
    <w:rPr>
      <w:sz w:val="16"/>
      <w:szCs w:val="16"/>
    </w:rPr>
  </w:style>
  <w:style w:type="character" w:styleId="TekstkomentarzaZnak" w:customStyle="1">
    <w:name w:val="Tekst komentarza Znak"/>
    <w:basedOn w:val="DefaultParagraphFont"/>
    <w:link w:val="CommentText"/>
    <w:uiPriority w:val="99"/>
    <w:qFormat/>
    <w:rsid w:val="003d64de"/>
    <w:rPr>
      <w:sz w:val="20"/>
      <w:szCs w:val="20"/>
      <w:lang w:val="en-US"/>
    </w:rPr>
  </w:style>
  <w:style w:type="character" w:styleId="TematkomentarzaZnak" w:customStyle="1">
    <w:name w:val="Temat komentarza Znak"/>
    <w:basedOn w:val="TekstkomentarzaZnak"/>
    <w:link w:val="annotationsubject"/>
    <w:uiPriority w:val="99"/>
    <w:semiHidden/>
    <w:qFormat/>
    <w:rsid w:val="003d64de"/>
    <w:rPr>
      <w:b/>
      <w:bCs/>
      <w:sz w:val="20"/>
      <w:szCs w:val="20"/>
      <w:lang w:val="en-US"/>
    </w:rPr>
  </w:style>
  <w:style w:type="character" w:styleId="UnresolvedMention2" w:customStyle="1">
    <w:name w:val="Unresolved Mention2"/>
    <w:basedOn w:val="DefaultParagraphFont"/>
    <w:uiPriority w:val="99"/>
    <w:semiHidden/>
    <w:unhideWhenUsed/>
    <w:qFormat/>
    <w:rsid w:val="009706c4"/>
    <w:rPr>
      <w:color w:val="605E5C"/>
      <w:shd w:fill="E1DFDD" w:val="clear"/>
    </w:rPr>
  </w:style>
  <w:style w:type="character" w:styleId="NagwekZnak" w:customStyle="1">
    <w:name w:val="Nagłówek Znak"/>
    <w:basedOn w:val="DefaultParagraphFont"/>
    <w:uiPriority w:val="99"/>
    <w:qFormat/>
    <w:rsid w:val="00e851f7"/>
    <w:rPr>
      <w:lang w:val="en-US"/>
    </w:rPr>
  </w:style>
  <w:style w:type="character" w:styleId="StopkaZnak" w:customStyle="1">
    <w:name w:val="Stopka Znak"/>
    <w:basedOn w:val="DefaultParagraphFont"/>
    <w:uiPriority w:val="99"/>
    <w:qFormat/>
    <w:rsid w:val="00e851f7"/>
    <w:rPr>
      <w:lang w:val="en-US"/>
    </w:rPr>
  </w:style>
  <w:style w:type="character" w:styleId="TekstdymkaZnak" w:customStyle="1">
    <w:name w:val="Tekst dymka Znak"/>
    <w:basedOn w:val="DefaultParagraphFont"/>
    <w:link w:val="BalloonText"/>
    <w:uiPriority w:val="99"/>
    <w:semiHidden/>
    <w:qFormat/>
    <w:rsid w:val="00b716b4"/>
    <w:rPr>
      <w:rFonts w:ascii="Segoe UI" w:hAnsi="Segoe UI" w:cs="Segoe UI"/>
      <w:sz w:val="18"/>
      <w:szCs w:val="18"/>
      <w:lang w:val="en-US"/>
    </w:rPr>
  </w:style>
  <w:style w:type="character" w:styleId="FollowedHyperlink">
    <w:name w:val="FollowedHyperlink"/>
    <w:basedOn w:val="DefaultParagraphFont"/>
    <w:uiPriority w:val="99"/>
    <w:semiHidden/>
    <w:unhideWhenUsed/>
    <w:rsid w:val="009f2516"/>
    <w:rPr>
      <w:color w:themeColor="followedHyperlink" w:val="954F72"/>
      <w:u w:val="single"/>
    </w:rPr>
  </w:style>
  <w:style w:type="character" w:styleId="UnresolvedMention">
    <w:name w:val="Unresolved Mention"/>
    <w:basedOn w:val="DefaultParagraphFont"/>
    <w:uiPriority w:val="99"/>
    <w:unhideWhenUsed/>
    <w:qFormat/>
    <w:rsid w:val="005d5b25"/>
    <w:rPr>
      <w:color w:val="605E5C"/>
      <w:shd w:fill="E1DFDD" w:val="clear"/>
    </w:rPr>
  </w:style>
  <w:style w:type="character" w:styleId="cf01" w:customStyle="1">
    <w:name w:val="cf01"/>
    <w:basedOn w:val="DefaultParagraphFont"/>
    <w:qFormat/>
    <w:rsid w:val="00620ed1"/>
    <w:rPr>
      <w:rFonts w:ascii="Segoe UI" w:hAnsi="Segoe UI" w:cs="Segoe UI"/>
      <w:sz w:val="18"/>
      <w:szCs w:val="18"/>
    </w:rPr>
  </w:style>
  <w:style w:type="character" w:styleId="Mention">
    <w:name w:val="Mention"/>
    <w:basedOn w:val="DefaultParagraphFont"/>
    <w:uiPriority w:val="99"/>
    <w:unhideWhenUsed/>
    <w:qFormat/>
    <w:rsid w:val="002044df"/>
    <w:rPr>
      <w:color w:val="2B579A"/>
      <w:shd w:fill="E1DFDD" w:val="clear"/>
    </w:rPr>
  </w:style>
  <w:style w:type="character" w:styleId="TekstprzypisudolnegoZnak" w:customStyle="1">
    <w:name w:val="Tekst przypisu dolnego Znak"/>
    <w:basedOn w:val="DefaultParagraphFont"/>
    <w:uiPriority w:val="99"/>
    <w:semiHidden/>
    <w:qFormat/>
    <w:rsid w:val="0036266e"/>
    <w:rPr>
      <w:sz w:val="20"/>
      <w:szCs w:val="20"/>
      <w:lang w:val="en-US"/>
    </w:rPr>
  </w:style>
  <w:style w:type="character" w:styleId="Znakiprzypiswdolnych">
    <w:name w:val="Znaki przypisów dolnych"/>
    <w:basedOn w:val="DefaultParagraphFont"/>
    <w:uiPriority w:val="99"/>
    <w:semiHidden/>
    <w:unhideWhenUsed/>
    <w:qFormat/>
    <w:rsid w:val="0036266e"/>
    <w:rPr>
      <w:vertAlign w:val="superscript"/>
    </w:rPr>
  </w:style>
  <w:style w:type="character" w:styleId="FootnoteReference">
    <w:name w:val="footnote reference"/>
    <w:rPr>
      <w:vertAlign w:val="superscript"/>
    </w:rPr>
  </w:style>
  <w:style w:type="character" w:styleId="TekstprzypisukocowegoZnak" w:customStyle="1">
    <w:name w:val="Tekst przypisu końcowego Znak"/>
    <w:basedOn w:val="DefaultParagraphFont"/>
    <w:uiPriority w:val="99"/>
    <w:semiHidden/>
    <w:qFormat/>
    <w:rsid w:val="00222814"/>
    <w:rPr>
      <w:sz w:val="20"/>
      <w:szCs w:val="20"/>
      <w:lang w:val="en-US"/>
    </w:rPr>
  </w:style>
  <w:style w:type="character" w:styleId="Znakiprzypiswkocowych">
    <w:name w:val="Znaki przypisów końcowych"/>
    <w:basedOn w:val="DefaultParagraphFont"/>
    <w:uiPriority w:val="99"/>
    <w:semiHidden/>
    <w:unhideWhenUsed/>
    <w:qFormat/>
    <w:rsid w:val="00222814"/>
    <w:rPr>
      <w:vertAlign w:val="superscript"/>
    </w:rPr>
  </w:style>
  <w:style w:type="character" w:styleId="EndnoteReference">
    <w:name w:val="endnote reference"/>
    <w:rPr>
      <w:vertAlign w:val="superscript"/>
    </w:rPr>
  </w:style>
  <w:style w:type="character" w:styleId="normaltextrun" w:customStyle="1">
    <w:name w:val="normaltextrun"/>
    <w:basedOn w:val="DefaultParagraphFont"/>
    <w:qFormat/>
    <w:rsid w:val="000d0137"/>
    <w:rPr/>
  </w:style>
  <w:style w:type="character" w:styleId="eop" w:customStyle="1">
    <w:name w:val="eop"/>
    <w:basedOn w:val="DefaultParagraphFont"/>
    <w:qFormat/>
    <w:rsid w:val="000d0137"/>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Default" w:customStyle="1">
    <w:name w:val="Default"/>
    <w:qFormat/>
    <w:rsid w:val="00483dbc"/>
    <w:pPr>
      <w:widowControl/>
      <w:bidi w:val="0"/>
      <w:spacing w:lineRule="auto" w:line="240" w:before="0" w:after="0"/>
      <w:jc w:val="start"/>
    </w:pPr>
    <w:rPr>
      <w:rFonts w:ascii="Arial" w:hAnsi="Arial" w:cs="Arial" w:eastAsia="Calibri"/>
      <w:color w:val="000000"/>
      <w:kern w:val="0"/>
      <w:sz w:val="24"/>
      <w:szCs w:val="24"/>
      <w:lang w:val="en-GB" w:eastAsia="en-US" w:bidi="ar-SA"/>
    </w:rPr>
  </w:style>
  <w:style w:type="paragraph" w:styleId="PRHeadline" w:customStyle="1">
    <w:name w:val="PR Headline"/>
    <w:uiPriority w:val="99"/>
    <w:qFormat/>
    <w:rsid w:val="002f52b0"/>
    <w:pPr>
      <w:widowControl/>
      <w:bidi w:val="0"/>
      <w:spacing w:lineRule="atLeast" w:line="420" w:before="0" w:after="0"/>
      <w:jc w:val="start"/>
    </w:pPr>
    <w:rPr>
      <w:rFonts w:ascii="HP Simplified" w:hAnsi="HP Simplified" w:eastAsia="Times New Roman" w:cs="HP Simplified Light"/>
      <w:b/>
      <w:color w:val="auto"/>
      <w:kern w:val="0"/>
      <w:sz w:val="36"/>
      <w:szCs w:val="36"/>
      <w:lang w:val="en-US" w:eastAsia="ja-JP" w:bidi="ar-SA"/>
    </w:rPr>
  </w:style>
  <w:style w:type="paragraph" w:styleId="CommentText">
    <w:name w:val="annotation text"/>
    <w:basedOn w:val="Normal"/>
    <w:link w:val="TekstkomentarzaZnak"/>
    <w:uiPriority w:val="99"/>
    <w:unhideWhenUsed/>
    <w:rsid w:val="003d64de"/>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3d64de"/>
    <w:pPr/>
    <w:rPr>
      <w:b/>
      <w:bCs/>
    </w:rPr>
  </w:style>
  <w:style w:type="paragraph" w:styleId="Gwkaistopka">
    <w:name w:val="Główka i stopka"/>
    <w:basedOn w:val="Normal"/>
    <w:qFormat/>
    <w:pPr/>
    <w:rPr/>
  </w:style>
  <w:style w:type="paragraph" w:styleId="Header">
    <w:name w:val="header"/>
    <w:basedOn w:val="Normal"/>
    <w:link w:val="NagwekZnak"/>
    <w:uiPriority w:val="99"/>
    <w:unhideWhenUsed/>
    <w:rsid w:val="00e851f7"/>
    <w:pPr>
      <w:tabs>
        <w:tab w:val="clear" w:pos="720"/>
        <w:tab w:val="center" w:pos="4513" w:leader="none"/>
        <w:tab w:val="right" w:pos="9026" w:leader="none"/>
      </w:tabs>
      <w:spacing w:lineRule="auto" w:line="240" w:before="0" w:after="0"/>
    </w:pPr>
    <w:rPr/>
  </w:style>
  <w:style w:type="paragraph" w:styleId="Footer">
    <w:name w:val="footer"/>
    <w:basedOn w:val="Normal"/>
    <w:link w:val="StopkaZnak"/>
    <w:uiPriority w:val="99"/>
    <w:unhideWhenUsed/>
    <w:rsid w:val="00e851f7"/>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e851f7"/>
    <w:pPr>
      <w:spacing w:before="0" w:after="160"/>
      <w:ind w:start="720"/>
      <w:contextualSpacing/>
    </w:pPr>
    <w:rPr/>
  </w:style>
  <w:style w:type="paragraph" w:styleId="BalloonText">
    <w:name w:val="Balloon Text"/>
    <w:basedOn w:val="Normal"/>
    <w:link w:val="TekstdymkaZnak"/>
    <w:uiPriority w:val="99"/>
    <w:semiHidden/>
    <w:unhideWhenUsed/>
    <w:qFormat/>
    <w:rsid w:val="00b716b4"/>
    <w:pPr>
      <w:spacing w:lineRule="auto" w:line="240" w:before="0" w:after="0"/>
    </w:pPr>
    <w:rPr>
      <w:rFonts w:ascii="Segoe UI" w:hAnsi="Segoe UI" w:cs="Segoe UI"/>
      <w:sz w:val="18"/>
      <w:szCs w:val="18"/>
    </w:rPr>
  </w:style>
  <w:style w:type="paragraph" w:styleId="Revision">
    <w:name w:val="Revision"/>
    <w:uiPriority w:val="99"/>
    <w:semiHidden/>
    <w:qFormat/>
    <w:rsid w:val="00435c45"/>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pf0" w:customStyle="1">
    <w:name w:val="pf0"/>
    <w:basedOn w:val="Normal"/>
    <w:qFormat/>
    <w:rsid w:val="00620ed1"/>
    <w:pPr>
      <w:spacing w:lineRule="auto" w:line="240" w:beforeAutospacing="1" w:afterAutospacing="1"/>
    </w:pPr>
    <w:rPr>
      <w:rFonts w:ascii="Times New Roman" w:hAnsi="Times New Roman" w:eastAsia="Times New Roman" w:cs="Times New Roman"/>
      <w:sz w:val="24"/>
      <w:szCs w:val="24"/>
    </w:rPr>
  </w:style>
  <w:style w:type="paragraph" w:styleId="FootnoteText">
    <w:name w:val="footnote text"/>
    <w:basedOn w:val="Normal"/>
    <w:link w:val="TekstprzypisudolnegoZnak"/>
    <w:uiPriority w:val="99"/>
    <w:semiHidden/>
    <w:unhideWhenUsed/>
    <w:rsid w:val="0036266e"/>
    <w:pPr>
      <w:spacing w:lineRule="auto" w:line="240" w:before="0" w:after="0"/>
    </w:pPr>
    <w:rPr>
      <w:sz w:val="20"/>
      <w:szCs w:val="20"/>
    </w:rPr>
  </w:style>
  <w:style w:type="paragraph" w:styleId="EndnoteText">
    <w:name w:val="endnote text"/>
    <w:basedOn w:val="Normal"/>
    <w:link w:val="TekstprzypisukocowegoZnak"/>
    <w:uiPriority w:val="99"/>
    <w:semiHidden/>
    <w:unhideWhenUsed/>
    <w:rsid w:val="00222814"/>
    <w:pPr>
      <w:spacing w:lineRule="auto" w:line="240" w:before="0" w:after="0"/>
    </w:pPr>
    <w:rPr>
      <w:sz w:val="20"/>
      <w:szCs w:val="20"/>
    </w:rPr>
  </w:style>
  <w:style w:type="paragraph" w:styleId="paragraph" w:customStyle="1">
    <w:name w:val="paragraph"/>
    <w:basedOn w:val="Normal"/>
    <w:qFormat/>
    <w:rsid w:val="000d0137"/>
    <w:pPr>
      <w:spacing w:lineRule="auto" w:line="240" w:beforeAutospacing="1" w:afterAutospacing="1"/>
    </w:pPr>
    <w:rPr>
      <w:rFonts w:ascii="Times New Roman" w:hAnsi="Times New Roman" w:eastAsia="Times New Roman" w:cs="Times New Roman"/>
      <w:sz w:val="24"/>
      <w:szCs w:val="24"/>
    </w:rPr>
  </w:style>
  <w:style w:type="paragraph" w:styleId="xmsonormal" w:customStyle="1">
    <w:name w:val="x_msonormal"/>
    <w:basedOn w:val="Normal"/>
    <w:qFormat/>
    <w:rsid w:val="00431b9c"/>
    <w:pPr>
      <w:spacing w:lineRule="auto" w:line="240" w:beforeAutospacing="1" w:afterAutospacing="1"/>
    </w:pPr>
    <w:rPr>
      <w:rFonts w:ascii="Times New Roman" w:hAnsi="Times New Roman" w:eastAsia="Times New Roman" w:cs="Times New Roman"/>
      <w:sz w:val="24"/>
      <w:szCs w:val="24"/>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hpe.com/us/en/home.html" TargetMode="External"/><Relationship Id="rId4" Type="http://schemas.openxmlformats.org/officeDocument/2006/relationships/hyperlink" Target="https://community.hpe.com/t5/ai-unlocked/hpe-secures-18-top-rankings-in-mlperf-inference-v6-0-ai/ba-p/7264016" TargetMode="External"/><Relationship Id="rId5" Type="http://schemas.openxmlformats.org/officeDocument/2006/relationships/hyperlink" Target="https://community.hpe.com/t5/servers-systems-the-right/the-edge-does-not-forgive-data-center-thinking/ba-p/7265419"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4ac26-e6a5-4041-a031-1a492a5aba76">
      <Terms xmlns="http://schemas.microsoft.com/office/infopath/2007/PartnerControls"/>
    </lcf76f155ced4ddcb4097134ff3c332f>
    <TaxCatchAll xmlns="02d12187-754c-41a9-9e93-c3e1cfacc1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C552EE3465E4B8080132176A5E915" ma:contentTypeVersion="18" ma:contentTypeDescription="Create a new document." ma:contentTypeScope="" ma:versionID="ea628a963fb13f8a34578437eb9a94b9">
  <xsd:schema xmlns:xsd="http://www.w3.org/2001/XMLSchema" xmlns:xs="http://www.w3.org/2001/XMLSchema" xmlns:p="http://schemas.microsoft.com/office/2006/metadata/properties" xmlns:ns2="f354ac26-e6a5-4041-a031-1a492a5aba76" xmlns:ns3="08d5586c-054b-45aa-9ec4-445d4734b9af" xmlns:ns4="02d12187-754c-41a9-9e93-c3e1cfacc155" targetNamespace="http://schemas.microsoft.com/office/2006/metadata/properties" ma:root="true" ma:fieldsID="e51bb9999a8fd845dd1e304907c1377b" ns2:_="" ns3:_="" ns4:_="">
    <xsd:import namespace="f354ac26-e6a5-4041-a031-1a492a5aba76"/>
    <xsd:import namespace="08d5586c-054b-45aa-9ec4-445d4734b9af"/>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ac26-e6a5-4041-a031-1a492a5ab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5586c-054b-45aa-9ec4-445d4734b9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002b312-b48a-44bb-adcc-8b6b4c3ebf0a}" ma:internalName="TaxCatchAll" ma:showField="CatchAllData" ma:web="08d5586c-054b-45aa-9ec4-445d4734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C864F-6F55-4683-815A-B2B6CAB3E165}">
  <ds:schemaRefs>
    <ds:schemaRef ds:uri="http://schemas.microsoft.com/office/2006/metadata/properties"/>
    <ds:schemaRef ds:uri="http://schemas.microsoft.com/office/infopath/2007/PartnerControls"/>
    <ds:schemaRef ds:uri="f354ac26-e6a5-4041-a031-1a492a5aba76"/>
    <ds:schemaRef ds:uri="02d12187-754c-41a9-9e93-c3e1cfacc155"/>
  </ds:schemaRefs>
</ds:datastoreItem>
</file>

<file path=customXml/itemProps2.xml><?xml version="1.0" encoding="utf-8"?>
<ds:datastoreItem xmlns:ds="http://schemas.openxmlformats.org/officeDocument/2006/customXml" ds:itemID="{3067E79F-30A8-4871-B15A-23F2423E2A5B}">
  <ds:schemaRefs>
    <ds:schemaRef ds:uri="http://schemas.microsoft.com/sharepoint/v3/contenttype/forms"/>
  </ds:schemaRefs>
</ds:datastoreItem>
</file>

<file path=customXml/itemProps3.xml><?xml version="1.0" encoding="utf-8"?>
<ds:datastoreItem xmlns:ds="http://schemas.openxmlformats.org/officeDocument/2006/customXml" ds:itemID="{5F9E3AD0-645C-4BEC-82B3-20DFC28D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ac26-e6a5-4041-a031-1a492a5aba76"/>
    <ds:schemaRef ds:uri="08d5586c-054b-45aa-9ec4-445d4734b9af"/>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LibreOffice/25.8.5.2$Windows_X86_64 LibreOffice_project/9c8b85f387cc00a89945a79c9e6239f32e450ac2</Application>
  <AppVersion>15.0000</AppVersion>
  <Pages>3</Pages>
  <Words>1019</Words>
  <Characters>6817</Characters>
  <CharactersWithSpaces>7798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2026-04-30T11:44:00Z</dcterms:created>
  <dc:creator>Julia Rudnicka (Omnicom)</dc:creator>
  <dc:description/>
  <dc:language>pl-PL</dc:language>
  <cp:lastModifiedBy/>
  <dcterms:modified xsi:type="dcterms:W3CDTF">2026-04-30T20:27:29Z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656c818f,1d8856e0,5a7be69c</vt:lpwstr>
  </property>
  <property fmtid="{D5CDD505-2E9C-101B-9397-08002B2CF9AE}" pid="4" name="ClassificationContentMarkingFooterText">
    <vt:lpwstr>Confidential - Not for Public Consumption or Distribution</vt:lpwstr>
  </property>
  <property fmtid="{D5CDD505-2E9C-101B-9397-08002B2CF9AE}" pid="5" name="ContentTypeId">
    <vt:lpwstr>0x010100F21C552EE3465E4B8080132176A5E915</vt:lpwstr>
  </property>
  <property fmtid="{D5CDD505-2E9C-101B-9397-08002B2CF9AE}" pid="6" name="MSIP_Label_8e19d756-792e-42a1-bcad-4cb9051ddd2d_ActionId">
    <vt:lpwstr>ccc03199-ac02-40dc-95dd-a57451244947</vt:lpwstr>
  </property>
  <property fmtid="{D5CDD505-2E9C-101B-9397-08002B2CF9AE}" pid="7" name="MSIP_Label_8e19d756-792e-42a1-bcad-4cb9051ddd2d_ContentBits">
    <vt:lpwstr>2</vt:lpwstr>
  </property>
  <property fmtid="{D5CDD505-2E9C-101B-9397-08002B2CF9AE}" pid="8" name="MSIP_Label_8e19d756-792e-42a1-bcad-4cb9051ddd2d_Enabled">
    <vt:lpwstr>true</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etDate">
    <vt:lpwstr>2026-04-30T09:40:21Z</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Tag">
    <vt:lpwstr>10, 3, 0, 1</vt:lpwstr>
  </property>
  <property fmtid="{D5CDD505-2E9C-101B-9397-08002B2CF9AE}" pid="14" name="MediaServiceImageTags">
    <vt:lpwstr/>
  </property>
</Properties>
</file>