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 xml:space="preserve">Komunikat prasowy </w:t>
      </w:r>
    </w:p>
    <w:p>
      <w:pPr>
        <w:pStyle w:val="Normal"/>
        <w:rPr/>
      </w:pPr>
      <w:r>
        <w:rPr/>
      </w:r>
    </w:p>
    <w:p>
      <w:pPr>
        <w:pStyle w:val="Normal"/>
        <w:rPr>
          <w:b/>
          <w:bCs/>
          <w:sz w:val="36"/>
          <w:szCs w:val="36"/>
        </w:rPr>
      </w:pPr>
      <w:r>
        <w:rPr>
          <w:b/>
          <w:bCs/>
          <w:sz w:val="36"/>
          <w:szCs w:val="36"/>
        </w:rPr>
        <w:t>HPE wprowadza nowości w swojej ofercie chmur prywatnych i platform danych</w:t>
      </w:r>
    </w:p>
    <w:p>
      <w:pPr>
        <w:pStyle w:val="Normal"/>
        <w:rPr/>
      </w:pPr>
      <w:r>
        <w:rPr>
          <w:i/>
          <w:iCs/>
        </w:rPr>
        <w:t>Nowe rozwiązania w zakresie chmur prywatnych, pamięci masowej i ochrony danych upraszczają zarządzanie, zwiększają odporność i przyspieszają procesy w ramach sztucznej inteligencji</w:t>
      </w:r>
    </w:p>
    <w:p>
      <w:pPr>
        <w:pStyle w:val="ListParagraph"/>
        <w:numPr>
          <w:ilvl w:val="0"/>
          <w:numId w:val="1"/>
        </w:numPr>
        <w:rPr/>
      </w:pPr>
      <w:r>
        <w:rPr>
          <w:i/>
          <w:iCs/>
        </w:rPr>
        <w:t>Rozwiązanie HPE Private Cloud oferuje teraz zarządzanie środowiskiem Kubernetes z najnowszą generacją serwerów HPE ProLiant Compute Gen 12, łącząc obciążenia natywne dla chmury i zwirtualizowane w obszarze jednego systemu o wysokiej wydajności</w:t>
      </w:r>
    </w:p>
    <w:p>
      <w:pPr>
        <w:pStyle w:val="ListParagraph"/>
        <w:numPr>
          <w:ilvl w:val="0"/>
          <w:numId w:val="1"/>
        </w:numPr>
        <w:rPr/>
      </w:pPr>
      <w:r>
        <w:rPr>
          <w:i/>
          <w:iCs/>
        </w:rPr>
        <w:t>Rozwiązanie HPE Alletra Storage MP X10000 zapewnia teraz wysokowydajną pamięć plikową, oferując obsługę plików i obiektów na jednej platformie w celu uproszczenia zarządzania danymi i przyspieszenia potoków danych AI</w:t>
      </w:r>
    </w:p>
    <w:p>
      <w:pPr>
        <w:pStyle w:val="ListParagraph"/>
        <w:numPr>
          <w:ilvl w:val="0"/>
          <w:numId w:val="1"/>
        </w:numPr>
        <w:rPr>
          <w:i/>
          <w:iCs/>
        </w:rPr>
      </w:pPr>
      <w:r>
        <w:rPr>
          <w:i/>
          <w:iCs/>
        </w:rPr>
        <w:t>HPE wprowadza nowe funkcje agentowej AI w rozwiązaniach HPE Alletra Storage MP B10000, oprogramowaniu HPE Zerto oraz oprogramowaniu HPE Data Fabric w celu uproszczenia zarządzania danymi i ich ochrony</w:t>
      </w:r>
    </w:p>
    <w:p>
      <w:pPr>
        <w:pStyle w:val="Normal"/>
        <w:rPr/>
      </w:pPr>
      <w:hyperlink r:id="rId2">
        <w:r>
          <w:rPr>
            <w:rStyle w:val="Hyperlink"/>
          </w:rPr>
          <w:t>HPE</w:t>
        </w:r>
      </w:hyperlink>
      <w:r>
        <w:rPr/>
        <w:t xml:space="preserve"> (NYSE: HPE) rozwija ofertę </w:t>
      </w:r>
      <w:hyperlink r:id="rId3">
        <w:r>
          <w:rPr>
            <w:rStyle w:val="Hyperlink"/>
          </w:rPr>
          <w:t>GreenLake</w:t>
        </w:r>
      </w:hyperlink>
      <w:r>
        <w:rPr/>
        <w:t xml:space="preserve"> w obszarze chmury prywatnej, pamięci masowej i ochrony danych, zmieniając sposób, w jaki przedsiębiorstwa modernizują infrastrukturę i zwiększając gotowość danych do wykorzystania w sztucznej inteligencji. GreenLake zapewnia spójne podejście, które umożliwia organizacjom modernizację obciążeń wirtualnych i natywnych dla chmury bez zmuszania klientów do korzystania z rozproszonych narzędzi od wielu dostawców lub podejmowania ryzykownych migracji.</w:t>
      </w:r>
    </w:p>
    <w:p>
      <w:pPr>
        <w:pStyle w:val="Normal"/>
        <w:rPr/>
      </w:pPr>
      <w:r>
        <w:rPr/>
        <w:t>„</w:t>
      </w:r>
      <w:r>
        <w:rPr/>
        <w:t xml:space="preserve">Przedsiębiorstwa szybko modernizują się pod kątem sztucznej inteligencji i środowisk natywnych dla chmury, a ta transformacja stawia nowe wymagania dotyczące sposobu zarządzania, ochrony i skalowania środowisk” – </w:t>
      </w:r>
      <w:r>
        <w:rPr>
          <w:b/>
          <w:bCs/>
        </w:rPr>
        <w:t>powiedziała Fidelma Russo, EVP &amp; GM, Hybrid Cloud &amp; CTO w HPE</w:t>
      </w:r>
      <w:r>
        <w:rPr/>
        <w:t>. „Dzięki tym innowacjom pomagamy organizacjom wdrożyć ujednolicony model operacyjny, który łączy chmurę prywatną, dane i bezpieczeństwo, upraszcza migrację ze starszych platform, wzmacnia odporność oraz zapewnia niższy całkowity koszt posiadania przy działaniu na dużą skalę.”</w:t>
      </w:r>
    </w:p>
    <w:p>
      <w:pPr>
        <w:pStyle w:val="Normal"/>
        <w:rPr/>
      </w:pPr>
      <w:r>
        <w:rPr/>
      </w:r>
    </w:p>
    <w:p>
      <w:pPr>
        <w:pStyle w:val="Normal"/>
        <w:rPr/>
      </w:pPr>
      <w:r>
        <w:rPr>
          <w:b/>
          <w:bCs/>
        </w:rPr>
        <w:t>Chmura prywatna nowej generacji łączy natywne dla chmury i zwirtualizowane obciążenia</w:t>
      </w:r>
    </w:p>
    <w:p>
      <w:pPr>
        <w:pStyle w:val="Normal"/>
        <w:rPr/>
      </w:pPr>
      <w:r>
        <w:rPr/>
        <w:t>Chmura prywatna HPE wkroczyła obecnie w czwartą generację i zapewnia elastyczne rozwiązania dla organizacji modernizujących infrastrukturę wykraczającą poza tradycyjne środowiska wirtualizacji. Chmura prywatna HPE oferuje teraz Kubernetes do ujednoliconego zarządzania maszynami wirtualnymi (VM) i kontenerami na jednej platformie, z niezależnym skalowaniem dla obciążeń natywnych dla chmury. HPE oferuje również płynną ścieżkę aktualizacji oprogramowania dla obecnych klientów HPE Private Cloud Business Edition, umożliwiającą zarządzanie zarówno maszynami wirtualnymi, jak i Kubernetes przy użyciu istniejącej infrastruktury.</w:t>
      </w:r>
    </w:p>
    <w:p>
      <w:pPr>
        <w:pStyle w:val="Normal"/>
        <w:rPr/>
      </w:pPr>
      <w:r>
        <w:rPr/>
        <w:t xml:space="preserve">Oferując ujednoliconą infrastrukturę, operacje i dane w zintegrowanym rozwiązaniu od jednego dostawcy, HPE Private Cloud zapewnia klientom kontrolę i spójność operacji, pomagając im obniżyć koszty i zarządzać ryzykiem. </w:t>
      </w:r>
    </w:p>
    <w:p>
      <w:pPr>
        <w:pStyle w:val="Normal"/>
        <w:rPr/>
      </w:pPr>
      <w:r>
        <w:rPr/>
        <w:t xml:space="preserve">Klientom, którzy chcą zbudować ujednolicony model operacyjny chmury z zarządzaniem, koordynacją, migracją i automatyzacją w środowisku hybrydowym i wielochmurowym, HPE Private Cloud oferuje uproszczoną ścieżkę aktualizacji do wersji korporacyjnej oprogramowania </w:t>
      </w:r>
      <w:hyperlink r:id="rId4">
        <w:r>
          <w:rPr>
            <w:rStyle w:val="Hyperlink"/>
          </w:rPr>
          <w:t>HPE Morpheus Software</w:t>
        </w:r>
      </w:hyperlink>
      <w:r>
        <w:rPr/>
        <w:t>.</w:t>
      </w:r>
    </w:p>
    <w:p>
      <w:pPr>
        <w:pStyle w:val="ListParagraph"/>
        <w:numPr>
          <w:ilvl w:val="0"/>
          <w:numId w:val="6"/>
        </w:numPr>
        <w:rPr/>
      </w:pPr>
      <w:r>
        <w:rPr/>
        <w:t>Nowy system HPE Private Cloud oparty jest na najnowszej generacji serwerów HPE ProLiant Compute Gen12, zapewniając lepszą efektywność energetyczną (tzw. wydajność na wat), większą konsolidację obciążeń oraz wzmocnione zabezpieczenia dzięki technologii HPE Integrated Lights-Out (iLO).</w:t>
      </w:r>
    </w:p>
    <w:p>
      <w:pPr>
        <w:pStyle w:val="ListParagraph"/>
        <w:numPr>
          <w:ilvl w:val="0"/>
          <w:numId w:val="6"/>
        </w:numPr>
        <w:rPr/>
      </w:pPr>
      <w:hyperlink r:id="rId5">
        <w:r>
          <w:rPr>
            <w:rStyle w:val="Hyperlink"/>
          </w:rPr>
          <w:t>Oprogramowanie HPE Zerto</w:t>
        </w:r>
      </w:hyperlink>
      <w:r>
        <w:rPr/>
        <w:t xml:space="preserve"> umożliwia teraz migrację obciążeń w czasie rzeczywistym ze środowisk VMware do maszyn wirtualnych HPE z ciągłą ochroną danych. Integracja ta pomaga organizacjom przeprowadzać migrację przy minimalnych zakłóceniach, zachowując jednocześnie ciągłą ochronę obciążeń na poziomie korporacyjnym oraz ultraszybkie, szczegółowe odzyskiwanie danych po cyberatakach.</w:t>
      </w:r>
    </w:p>
    <w:p>
      <w:pPr>
        <w:pStyle w:val="ListParagraph"/>
        <w:numPr>
          <w:ilvl w:val="0"/>
          <w:numId w:val="6"/>
        </w:numPr>
        <w:rPr/>
      </w:pPr>
      <w:r>
        <w:rPr/>
        <w:t>Nowe integracje z platformą Veeam Data Platform zapewniają ochronę danych dla HPE Private Cloud dzięki bezagentowemu tworzeniu kopii zapasowych na poziomie hosta w oparciu o obrazy, natywnemu śledzeniu zmienionych bloków w celu zwiększenia wydajności oraz odzyskiwaniu międzyplatformowemu zapewniającemu mobilność danych.</w:t>
      </w:r>
    </w:p>
    <w:p>
      <w:pPr>
        <w:pStyle w:val="ListParagraph"/>
        <w:numPr>
          <w:ilvl w:val="0"/>
          <w:numId w:val="6"/>
        </w:numPr>
        <w:rPr/>
      </w:pPr>
      <w:r>
        <w:rPr/>
        <w:t>Rozwiązanie HPE StoreOnce integruje się teraz z HPE Private Cloud, zapewniając wydajne i oszczędzające miejsce tworzenie kopii zapasowych do replikacji w czasie rzeczywistym z odzyskiwaniem o niemal zerowym RPO/RTO.</w:t>
      </w:r>
    </w:p>
    <w:p>
      <w:pPr>
        <w:pStyle w:val="Normal"/>
        <w:rPr/>
      </w:pPr>
      <w:r>
        <w:rPr/>
      </w:r>
    </w:p>
    <w:p>
      <w:pPr>
        <w:pStyle w:val="Normal"/>
        <w:rPr/>
      </w:pPr>
      <w:r>
        <w:rPr/>
        <w:t xml:space="preserve">W przypadku infrastruktury hiperkonwergentnej w zastosowaniach brzegowych i rozproszonych rozwiązanie </w:t>
      </w:r>
      <w:hyperlink r:id="rId6">
        <w:r>
          <w:rPr>
            <w:rStyle w:val="Hyperlink"/>
          </w:rPr>
          <w:t>HPE SimpliVity</w:t>
        </w:r>
      </w:hyperlink>
      <w:r>
        <w:rPr/>
        <w:t xml:space="preserve"> obsługuje teraz </w:t>
      </w:r>
      <w:hyperlink r:id="rId7">
        <w:r>
          <w:rPr>
            <w:rStyle w:val="Hyperlink"/>
          </w:rPr>
          <w:t>HPE Morpheus VM Essentials</w:t>
        </w:r>
      </w:hyperlink>
      <w:r>
        <w:rPr/>
        <w:t xml:space="preserve"> oraz zapewnia rozszerzoną odporność i tworzenie kopii zapasowych dzięki systemom </w:t>
      </w:r>
      <w:hyperlink r:id="rId8">
        <w:r>
          <w:rPr>
            <w:rStyle w:val="Hyperlink"/>
          </w:rPr>
          <w:t>HPE StoreOnce</w:t>
        </w:r>
      </w:hyperlink>
      <w:r>
        <w:rPr/>
        <w:t xml:space="preserve"> Gen5. Natywna integracja z StoreOnce zapewnia klientom płynne, bezpieczne i oszczędzające miejsce tworzenie kopii zapasowych danych. Funkcje te pomagają w standaryzacji operacji, poprawie odporności oraz uproszczeniu ochrony danych dla wirtualizowanych obciążeń.</w:t>
      </w:r>
    </w:p>
    <w:p>
      <w:pPr>
        <w:pStyle w:val="Normal"/>
        <w:rPr/>
      </w:pPr>
      <w:r>
        <w:rPr>
          <w:b/>
          <w:bCs/>
        </w:rPr>
        <w:t>HPE rozwija ujednoliconą platformę danych dla sztucznej inteligencji i nowoczesnych obciążeń</w:t>
      </w:r>
    </w:p>
    <w:p>
      <w:pPr>
        <w:pStyle w:val="Normal"/>
        <w:rPr/>
      </w:pPr>
      <w:r>
        <w:rPr/>
        <w:t>HPE rozszerza swoją ujednoliconą warstwę danych o nową natywną pamięć plików, dodatkową skalowalną pamięć blokową oraz zarządzanie z wykorzystaniem agentowej sztucznej inteligencji. Te nowe innowacje umożliwiają organizacjom przyspieszenie potoków danych AI dzięki inteligentnym danym oraz zmianę sposobu zarządzania, ochrony i aktywacji danych w całym przedsiębiorstwie.</w:t>
      </w:r>
    </w:p>
    <w:p>
      <w:pPr>
        <w:pStyle w:val="ListParagraph"/>
        <w:numPr>
          <w:ilvl w:val="0"/>
          <w:numId w:val="2"/>
        </w:numPr>
        <w:rPr/>
      </w:pPr>
      <w:r>
        <w:rPr>
          <w:b/>
          <w:bCs/>
        </w:rPr>
        <w:t xml:space="preserve">HPE Alletra Storage MP X10000 </w:t>
      </w:r>
      <w:r>
        <w:rPr/>
        <w:t xml:space="preserve">rozszerza możliwości dostępu do danych, zapewniając im nową natywną pamięć plików obok istniejącej pamięci obiektowej na jednej platformie. Model </w:t>
      </w:r>
      <w:hyperlink r:id="rId9">
        <w:r>
          <w:rPr>
            <w:rStyle w:val="Hyperlink"/>
          </w:rPr>
          <w:t>X10000</w:t>
        </w:r>
      </w:hyperlink>
      <w:r>
        <w:rPr/>
        <w:t xml:space="preserve"> można teraz skalować do 16 węzłów i 23 PB pojemności surowej. Jest on objęty nową gwarancją 100% dostępności danych, zapewniającą nieprzerwane działanie aplikacji</w:t>
      </w:r>
      <w:r>
        <w:rPr>
          <w:rStyle w:val="FootnoteReference"/>
        </w:rPr>
        <w:footnoteReference w:id="2"/>
      </w:r>
      <w:r>
        <w:rPr/>
        <w:t xml:space="preserve">. Model X10000 zapewni pamięć plików z obsługą zdalnego bezpośredniego dostępu do pamięci (RDMA), opierając się na istniejącej obsłudze S3 (pamięć obiektowa) przez RDMA. Te zaawansowane funkcje upraszczają przechowywanie i dostęp do danych w potokach AI w ramach obciążeń związanych ze szkoleniem, wnioskowaniem i pamięcią podręczną KV. Model X10000 umożliwia również szerszy zakres zastosowań w zakresie analityki, cyberodporności i tworzenia kopii zapasowych dzięki wiodącej w branży wydajności pobierania kopii zapasowych wynoszącej do 2,5 PB/godzinę przy użyciu węzła X10000 Data Protection Accelerator Node. </w:t>
      </w:r>
    </w:p>
    <w:p>
      <w:pPr>
        <w:pStyle w:val="ListParagraph"/>
        <w:numPr>
          <w:ilvl w:val="0"/>
          <w:numId w:val="2"/>
        </w:numPr>
        <w:rPr/>
      </w:pPr>
      <w:r>
        <w:rPr>
          <w:b/>
          <w:bCs/>
        </w:rPr>
        <w:t xml:space="preserve">HPE Alletra Storage MP B10000 </w:t>
      </w:r>
      <w:r>
        <w:rPr/>
        <w:t xml:space="preserve">zwiększa wydajność i odporność w przypadku obciążeń o znaczeniu krytycznym dzięki nowej obsłudze w czasie rzeczywistym z wykorzystaniem agentów AI, która autonomicznie wykrywa, analizuje i rozwiązuje problemy związane z pamięcią masową, a także dzięki nowej gwarancji redukcji danych w stosunku 5:1, która zwiększa wydajność i obniża całkowity koszt w przeliczeniu na TB. Model </w:t>
      </w:r>
      <w:hyperlink r:id="rId10">
        <w:r>
          <w:rPr>
            <w:rStyle w:val="Hyperlink"/>
          </w:rPr>
          <w:t>B10000</w:t>
        </w:r>
      </w:hyperlink>
      <w:r>
        <w:rPr/>
        <w:t xml:space="preserve"> umożliwia również dodatkowe skalowanie z czterech do sześciu węzłów kontrolera, zapewniając o 50% wyższą wydajność oraz wbudowaną odporność na awarie w dwóch węzłach.</w:t>
      </w:r>
    </w:p>
    <w:p>
      <w:pPr>
        <w:pStyle w:val="ListParagraph"/>
        <w:numPr>
          <w:ilvl w:val="0"/>
          <w:numId w:val="2"/>
        </w:numPr>
        <w:rPr/>
      </w:pPr>
      <w:r>
        <w:rPr>
          <w:b/>
          <w:bCs/>
        </w:rPr>
        <w:t>Oprogramowanie HPE Data Fabric</w:t>
      </w:r>
      <w:r>
        <w:rPr/>
        <w:t xml:space="preserve"> oferuje nowe funkcje umieszczania i przenoszenia danych oparte na politykach zarządzania danymi, zapewniając organizacjom kompleksowe rozwiązanie do przygotowywania danych i zarządzania nimi na potrzeby obciążeń AI w środowiskach hybrydowych. Nowy interfejs konwersacyjny oraz asystent AI oparty na agentach zapewniają dostęp w języku naturalnym do globalnej przestrzeni nazw, umożliwiając szybsze uzyskiwanie wniosków, automatyczne raportowanie oraz usprawnione podejmowanie decyzji. Ulepszona integracja metadanych poprawia widoczność, klasyfikację i śledzenie pochodzenia danych, a obsługa otwartych standardów, takich jak Apache Polaris, zapewnia spójne zarządzanie i zgodność z przepisami na wszystkich platformach.</w:t>
      </w:r>
    </w:p>
    <w:p>
      <w:pPr>
        <w:pStyle w:val="ListParagraph"/>
        <w:numPr>
          <w:ilvl w:val="0"/>
          <w:numId w:val="2"/>
        </w:numPr>
        <w:rPr/>
      </w:pPr>
      <w:r>
        <w:rPr>
          <w:b/>
          <w:bCs/>
        </w:rPr>
        <w:t xml:space="preserve">HPE Zerto </w:t>
      </w:r>
      <w:r>
        <w:rPr/>
        <w:t xml:space="preserve">oferuje nową ochronę danych opartą na sztucznej inteligencji za pośrednictwem prostego asystenta AI i jest teraz zintegrowane z Microsoft Defender, zapewniając widoczność zagrożeń w czasie rzeczywistym oraz szybsze odzyskiwanie danych, opierając się na ogłoszonych podczas </w:t>
      </w:r>
      <w:hyperlink r:id="rId11">
        <w:r>
          <w:rPr>
            <w:rStyle w:val="Hyperlink"/>
          </w:rPr>
          <w:t>RSAC 2026</w:t>
        </w:r>
      </w:hyperlink>
      <w:r>
        <w:rPr/>
        <w:t xml:space="preserve"> innowacjach HPE w zakresie koordynowanego odzyskiwania na dużą skalę.</w:t>
      </w:r>
    </w:p>
    <w:p>
      <w:pPr>
        <w:pStyle w:val="Normal"/>
        <w:rPr/>
      </w:pPr>
      <w:r>
        <w:rPr>
          <w:b/>
          <w:bCs/>
        </w:rPr>
        <w:t>Perspektywy klientów i partnerów</w:t>
      </w:r>
    </w:p>
    <w:p>
      <w:pPr>
        <w:pStyle w:val="Normal"/>
        <w:rPr/>
      </w:pPr>
      <w:r>
        <w:rPr/>
        <w:t>„</w:t>
      </w:r>
      <w:r>
        <w:rPr/>
        <w:t xml:space="preserve">W Dallas Cowboys działamy jako globalne, oparte na technologii przedsiębiorstwo sportowo-rozrywkowe, w którym zapewnienie płynnego, wysokowydajnego doświadczenia na całym stadionie AT&amp;T ma kluczowe znaczenie dla naszego sukcesu” - </w:t>
      </w:r>
      <w:r>
        <w:rPr>
          <w:b/>
          <w:bCs/>
        </w:rPr>
        <w:t>powiedział Matt Messick, dyrektor ds. informatyki w Dallas Cowboys</w:t>
      </w:r>
      <w:r>
        <w:rPr/>
        <w:t>. „Ujednolicone podejście HPE do platform chmury prywatnej pozwala nam zmodernizować naszą infrastrukturę, zachowując jednocześnie elastyczność i odporność, których potrzebujemy do obsługi wszystkiego – od angażowania kibiców w czasie rzeczywistym po operacje związane z wydarzeniami na dużą skalę”.</w:t>
      </w:r>
    </w:p>
    <w:p>
      <w:pPr>
        <w:pStyle w:val="Normal"/>
        <w:rPr/>
      </w:pPr>
      <w:r>
        <w:rPr/>
        <w:t>„</w:t>
      </w:r>
      <w:r>
        <w:rPr/>
        <w:t xml:space="preserve">Partnerstwo firm Veeam i HPE koncentruje się na pomaganiu organizacjom w upraszczaniu i wzmacnianiu zaufania do danych oraz sztucznej inteligencji w trakcie modernizacji ich infrastruktury” – </w:t>
      </w:r>
      <w:r>
        <w:rPr>
          <w:b/>
          <w:bCs/>
        </w:rPr>
        <w:t>powiedział Dave Russell, wiceprezes i dyrektor ds. strategii w firmie Veeam</w:t>
      </w:r>
      <w:r>
        <w:rPr/>
        <w:t>. „Dzięki integracji platformy Veeam Data Platform z rozwiązaniem HPE Private Cloud umożliwiamy organizacjom ochronę ich środowisk z większą szybkością, odpornością i elastycznością, zapewniając jednocześnie możliwość szybkiego, pewnego i inteligentnego przywracania sprawności po wszelkich zakłóceniach”.</w:t>
      </w:r>
    </w:p>
    <w:p>
      <w:pPr>
        <w:pStyle w:val="Normal"/>
        <w:rPr/>
      </w:pPr>
      <w:r>
        <w:rPr>
          <w:b/>
          <w:bCs/>
        </w:rPr>
        <w:t>Dostępność</w:t>
      </w:r>
    </w:p>
    <w:p>
      <w:pPr>
        <w:pStyle w:val="ListParagraph"/>
        <w:numPr>
          <w:ilvl w:val="0"/>
          <w:numId w:val="3"/>
        </w:numPr>
        <w:rPr/>
      </w:pPr>
      <w:r>
        <w:rPr/>
        <w:t xml:space="preserve">Nowe systemy HPE Private Cloud czwartej generacji są już dostępne. </w:t>
      </w:r>
    </w:p>
    <w:p>
      <w:pPr>
        <w:pStyle w:val="ListParagraph"/>
        <w:numPr>
          <w:ilvl w:val="0"/>
          <w:numId w:val="3"/>
        </w:numPr>
        <w:rPr/>
      </w:pPr>
      <w:r>
        <w:rPr/>
        <w:t>Obsługa ujednoliconego zarządzania maszynami wirtualnymi i kontenerami w HPE Private Cloud będzie ogólnie dostępna w trzecim kwartale 2026 r.</w:t>
      </w:r>
    </w:p>
    <w:p>
      <w:pPr>
        <w:pStyle w:val="ListParagraph"/>
        <w:numPr>
          <w:ilvl w:val="0"/>
          <w:numId w:val="3"/>
        </w:numPr>
        <w:rPr/>
      </w:pPr>
      <w:r>
        <w:rPr/>
        <w:t xml:space="preserve">Zintegrowana obsługa rozwiązań HPE StoreOnce, oprogramowania HPE Zerto oraz platformy Veeam Data Platform dla HPE Private Cloud jest już dostępna. </w:t>
      </w:r>
    </w:p>
    <w:p>
      <w:pPr>
        <w:pStyle w:val="ListParagraph"/>
        <w:numPr>
          <w:ilvl w:val="0"/>
          <w:numId w:val="3"/>
        </w:numPr>
        <w:rPr/>
      </w:pPr>
      <w:r>
        <w:rPr/>
        <w:t>Integracja rozwiązań HPE SimpliVity z systemami HPE StoreOnce Gen5 będzie ogólnodostępna w trzecim kwartale 2026 r.</w:t>
      </w:r>
    </w:p>
    <w:p>
      <w:pPr>
        <w:pStyle w:val="ListParagraph"/>
        <w:numPr>
          <w:ilvl w:val="0"/>
          <w:numId w:val="3"/>
        </w:numPr>
        <w:rPr/>
      </w:pPr>
      <w:r>
        <w:rPr/>
        <w:t>Rozwiązanie HPE Alletra Storage MP X10000 z pamięcią plików będzie ogólnodostępne w drugim kwartale 2026 r., a skalowalność na 16 węzłów oraz obsługa plików z wykorzystaniem RDMA będą ogólnodostępne w trzecim kwartale 2026 r.</w:t>
      </w:r>
    </w:p>
    <w:p>
      <w:pPr>
        <w:pStyle w:val="ListParagraph"/>
        <w:numPr>
          <w:ilvl w:val="0"/>
          <w:numId w:val="3"/>
        </w:numPr>
        <w:rPr/>
      </w:pPr>
      <w:r>
        <w:rPr/>
        <w:t>Aktualizacje oprogramowania HPE Data Fabric są już dostępne.</w:t>
      </w:r>
    </w:p>
    <w:p>
      <w:pPr>
        <w:pStyle w:val="ListParagraph"/>
        <w:numPr>
          <w:ilvl w:val="0"/>
          <w:numId w:val="3"/>
        </w:numPr>
        <w:rPr/>
      </w:pPr>
      <w:r>
        <w:rPr/>
        <w:t>Ulepszenia oprogramowania HPE Zerto będą ogólnodostępne w drugim kwartale 2026 r.</w:t>
      </w:r>
    </w:p>
    <w:p>
      <w:pPr>
        <w:pStyle w:val="ListParagraph"/>
        <w:rPr/>
      </w:pPr>
      <w:r>
        <w:rPr/>
      </w:r>
    </w:p>
    <w:p>
      <w:pPr>
        <w:pStyle w:val="Normal"/>
        <w:rPr/>
      </w:pPr>
      <w:r>
        <w:rPr>
          <w:b/>
          <w:bCs/>
        </w:rPr>
        <w:t>Powiązane zasoby:</w:t>
      </w:r>
    </w:p>
    <w:p>
      <w:pPr>
        <w:pStyle w:val="ListParagraph"/>
        <w:numPr>
          <w:ilvl w:val="0"/>
          <w:numId w:val="4"/>
        </w:numPr>
        <w:rPr/>
      </w:pPr>
      <w:hyperlink r:id="rId12">
        <w:r>
          <w:rPr>
            <w:rStyle w:val="Hyperlink"/>
          </w:rPr>
          <w:t>Ogłoszenie nowej automatyzacji opartej na agentach z ulepszoną skalowalnością i cyberodpornością</w:t>
        </w:r>
      </w:hyperlink>
    </w:p>
    <w:p>
      <w:pPr>
        <w:pStyle w:val="ListParagraph"/>
        <w:numPr>
          <w:ilvl w:val="0"/>
          <w:numId w:val="4"/>
        </w:numPr>
        <w:rPr/>
      </w:pPr>
      <w:hyperlink r:id="rId13">
        <w:r>
          <w:rPr>
            <w:rStyle w:val="Hyperlink"/>
          </w:rPr>
          <w:t>Rozwój rozwiązania HPE Alletra Storage MP X10000 na potrzeby ujednoliconej pamięci masowej i szybszych potoków AI</w:t>
        </w:r>
      </w:hyperlink>
    </w:p>
    <w:p>
      <w:pPr>
        <w:pStyle w:val="ListParagraph"/>
        <w:numPr>
          <w:ilvl w:val="0"/>
          <w:numId w:val="4"/>
        </w:numPr>
        <w:rPr/>
      </w:pPr>
      <w:hyperlink r:id="rId14">
        <w:r>
          <w:rPr>
            <w:rStyle w:val="Hyperlink"/>
          </w:rPr>
          <w:t>Hybrydowe zarządzanie danymi dla AI i analityki dzięki oprogramowaniu HPE Data Fabric 8.1</w:t>
        </w:r>
      </w:hyperlink>
    </w:p>
    <w:p>
      <w:pPr>
        <w:pStyle w:val="ListParagraph"/>
        <w:numPr>
          <w:ilvl w:val="0"/>
          <w:numId w:val="4"/>
        </w:numPr>
        <w:rPr/>
      </w:pPr>
      <w:hyperlink r:id="rId15">
        <w:r>
          <w:rPr>
            <w:rStyle w:val="Hyperlink"/>
          </w:rPr>
          <w:t>Zoptymalizuj swoje inwestycje w pamięć masową dzięki gwarancji</w:t>
        </w:r>
      </w:hyperlink>
    </w:p>
    <w:p>
      <w:pPr>
        <w:pStyle w:val="Normal"/>
        <w:rPr/>
      </w:pPr>
      <w:r>
        <w:rPr/>
      </w:r>
    </w:p>
    <w:p>
      <w:pPr>
        <w:pStyle w:val="Normal"/>
        <w:rPr/>
      </w:pPr>
      <w:r>
        <w:rPr>
          <w:b/>
          <w:bCs/>
        </w:rPr>
        <w:t>Najnowsze wiadomości HPE:</w:t>
      </w:r>
      <w:r>
        <w:rPr/>
        <w:t xml:space="preserve"> </w:t>
      </w:r>
    </w:p>
    <w:p>
      <w:pPr>
        <w:pStyle w:val="ListParagraph"/>
        <w:numPr>
          <w:ilvl w:val="0"/>
          <w:numId w:val="5"/>
        </w:numPr>
        <w:rPr/>
      </w:pPr>
      <w:hyperlink r:id="rId16">
        <w:r>
          <w:rPr>
            <w:rStyle w:val="Hyperlink"/>
          </w:rPr>
          <w:t>HPE przyspiesza rozwój bezpiecznej, skalowalnej i gotowej do wdrożenia sztucznej inteligencji dzięki nowym innowacjom we współpracy z firmą NVIDIA</w:t>
        </w:r>
      </w:hyperlink>
    </w:p>
    <w:p>
      <w:pPr>
        <w:pStyle w:val="ListParagraph"/>
        <w:numPr>
          <w:ilvl w:val="0"/>
          <w:numId w:val="5"/>
        </w:numPr>
        <w:rPr/>
      </w:pPr>
      <w:hyperlink r:id="rId17">
        <w:r>
          <w:rPr>
            <w:rStyle w:val="Hyperlink"/>
          </w:rPr>
          <w:t>HPE kształtuje przyszłość chmury hybrydowej dzięki innowacjom w zakresie wirtualizacji, bezpieczeństwa i sztucznej inteligencji</w:t>
        </w:r>
      </w:hyperlink>
    </w:p>
    <w:p>
      <w:pPr>
        <w:pStyle w:val="Normal"/>
        <w:rPr/>
      </w:pPr>
      <w:r>
        <w:rPr/>
      </w:r>
    </w:p>
    <w:p>
      <w:pPr>
        <w:pStyle w:val="Normal"/>
        <w:rPr/>
      </w:pPr>
      <w:r>
        <w:rPr>
          <w:b/>
          <w:bCs/>
        </w:rPr>
        <w:t xml:space="preserve">O firmie HPE </w:t>
      </w:r>
    </w:p>
    <w:p>
      <w:pPr>
        <w:pStyle w:val="Normal"/>
        <w:widowControl/>
        <w:bidi w:val="0"/>
        <w:spacing w:lineRule="auto" w:line="278" w:before="0" w:after="160"/>
        <w:jc w:val="start"/>
        <w:rPr>
          <w:b/>
          <w:bCs/>
        </w:rPr>
      </w:pPr>
      <w:hyperlink r:id="rId18">
        <w:r>
          <w:rPr>
            <w:rStyle w:val="Hyperlink"/>
          </w:rPr>
          <w:t>HPE</w:t>
        </w:r>
      </w:hyperlink>
      <w:r>
        <w:rPr/>
        <w:t xml:space="preserve"> (NYSE: HPE) jest liderem w zakresie kluczowych technologii korporacyjnych łączącym moc sztucznej inteligencji, rozwiązań chmurowych i sieciowych, aby pomóc klientom osiągnąć więcej. Rozszerzamy granice tego co możliwe, a nasza innowacyjność i wiedza fachowa zmieniają sposób, w jaki ludzie żyją i pracują. Umożliwiamy naszym klientom w różnych branżach optymalizację wydajności operacyjnej, przekształcanie danych w prognozy i maksymalizację ich wpływu. Zrealizuj swoje najśmielsze ambicje wraz z HPE. Dowiedz się więcej na </w:t>
      </w:r>
      <w:hyperlink r:id="rId19">
        <w:r>
          <w:rPr>
            <w:rStyle w:val="Hyperlink"/>
          </w:rPr>
          <w:t>www.hpe.com</w:t>
        </w:r>
      </w:hyperlink>
      <w:r>
        <w:rPr/>
        <w:t xml:space="preserve">. </w:t>
      </w:r>
    </w:p>
    <w:sectPr>
      <w:headerReference w:type="even" r:id="rId20"/>
      <w:headerReference w:type="default" r:id="rId21"/>
      <w:headerReference w:type="first" r:id="rId22"/>
      <w:footerReference w:type="even" r:id="rId23"/>
      <w:footerReference w:type="default" r:id="rId24"/>
      <w:footerReference w:type="first" r:id="rId25"/>
      <w:footnotePr>
        <w:numFmt w:val="decimal"/>
      </w:footnotePr>
      <w:type w:val="nextPage"/>
      <w:pgSz w:w="11906" w:h="16838"/>
      <w:pgMar w:left="1417" w:right="1417"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ptos">
    <w:charset w:val="ee" w:characterSet="windows-1250"/>
    <w:family w:val="roman"/>
    <w:pitch w:val="variable"/>
  </w:font>
  <w:font w:name="Aptos Display">
    <w:charset w:val="ee" w:characterSet="windows-1250"/>
    <w:family w:val="roman"/>
    <w:pitch w:val="variable"/>
  </w:font>
  <w:font w:name="Liberation Sans">
    <w:altName w:val="Arial"/>
    <w:charset w:val="ee" w:characterSet="windows-1250"/>
    <w:family w:val="swiss"/>
    <w:pitch w:val="variable"/>
  </w:font>
  <w:font w:name="Aptos">
    <w:charset w:val="ee" w:characterSet="windows-125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distT="0" distB="0" distL="0" distR="5080" simplePos="0" relativeHeight="3" behindDoc="1" locked="0" layoutInCell="0" allowOverlap="1" wp14:anchorId="61DD43C6">
              <wp:simplePos x="0" y="0"/>
              <wp:positionH relativeFrom="page">
                <wp:align>center</wp:align>
              </wp:positionH>
              <wp:positionV relativeFrom="page">
                <wp:align>bottom</wp:align>
              </wp:positionV>
              <wp:extent cx="3100070" cy="370205"/>
              <wp:effectExtent l="0" t="635" r="0" b="0"/>
              <wp:wrapNone/>
              <wp:docPr id="3" name="Pole tekstowe 2" descr="Confidential - Not for Public Consumption or Distribution"/>
              <a:graphic xmlns:a="http://schemas.openxmlformats.org/drawingml/2006/main">
                <a:graphicData uri="http://schemas.microsoft.com/office/word/2010/wordprocessingShape">
                  <wps:wsp>
                    <wps:cNvSpPr/>
                    <wps:spPr>
                      <a:xfrm>
                        <a:off x="0" y="0"/>
                        <a:ext cx="3099960" cy="370080"/>
                      </a:xfrm>
                      <a:prstGeom prst="rect">
                        <a:avLst/>
                      </a:prstGeom>
                      <a:noFill/>
                      <a:ln w="0">
                        <a:noFill/>
                      </a:ln>
                    </wps:spPr>
                    <wps:style>
                      <a:lnRef idx="0"/>
                      <a:fillRef idx="0"/>
                      <a:effectRef idx="0"/>
                      <a:fontRef idx="minor"/>
                    </wps:style>
                    <wps:txbx>
                      <w:txbxContent>
                        <w:p>
                          <w:pPr>
                            <w:pStyle w:val="Zawartoramki"/>
                            <w:spacing w:before="0" w:after="0"/>
                            <w:rPr>
                              <w:rFonts w:ascii="Aptos" w:hAnsi="Aptos" w:eastAsia="Aptos" w:cs="Aptos"/>
                              <w:color w:val="000000"/>
                              <w:sz w:val="20"/>
                              <w:szCs w:val="20"/>
                              <w:lang w:val="en-GB"/>
                            </w:rPr>
                          </w:pPr>
                          <w:r>
                            <w:rPr>
                              <w:rFonts w:eastAsia="Aptos" w:cs="Aptos" w:ascii="Aptos" w:hAnsi="Aptos"/>
                              <w:color w:val="000000"/>
                              <w:sz w:val="20"/>
                              <w:szCs w:val="20"/>
                              <w:lang w:val="en-GB"/>
                            </w:rPr>
                            <w:t>Confidential - Not for Public Consumption or Distribution</w:t>
                          </w:r>
                        </w:p>
                      </w:txbxContent>
                    </wps:txbx>
                    <wps:bodyPr lIns="0" rIns="0" tIns="0" bIns="190440" anchor="b">
                      <a:prstTxWarp prst="textNoShape"/>
                      <a:spAutoFit/>
                    </wps:bodyPr>
                  </wps:wsp>
                </a:graphicData>
              </a:graphic>
            </wp:anchor>
          </w:drawing>
        </mc:Choice>
        <mc:Fallback>
          <w:pict>
            <v:rect id="shape_0" stroked="f" o:allowincell="f" style="position:absolute;margin-left:0pt;margin-top:0pt;width:244.05pt;height:29.1pt;mso-wrap-style:none;v-text-anchor:bottom;mso-position-horizontal:center;mso-position-horizontal-relative:page;mso-position-vertical:bottom;mso-position-vertical-relative:page" wp14:anchorId="61DD43C6">
              <v:fill o:detectmouseclick="t" on="false"/>
              <v:stroke color="#3465a4" joinstyle="round" endcap="flat"/>
              <v:textbox>
                <w:txbxContent>
                  <w:p>
                    <w:pPr>
                      <w:pStyle w:val="Zawartoramki"/>
                      <w:spacing w:before="0" w:after="0"/>
                      <w:rPr>
                        <w:rFonts w:ascii="Aptos" w:hAnsi="Aptos" w:eastAsia="Aptos" w:cs="Aptos"/>
                        <w:color w:val="000000"/>
                        <w:sz w:val="20"/>
                        <w:szCs w:val="20"/>
                        <w:lang w:val="en-GB"/>
                      </w:rPr>
                    </w:pPr>
                    <w:r>
                      <w:rPr>
                        <w:rFonts w:eastAsia="Aptos" w:cs="Aptos" w:ascii="Aptos" w:hAnsi="Aptos"/>
                        <w:color w:val="000000"/>
                        <w:sz w:val="20"/>
                        <w:szCs w:val="20"/>
                        <w:lang w:val="en-GB"/>
                      </w:rPr>
                      <w:t>Confidential - Not for Public Consumption or Distribution</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distT="0" distB="0" distL="0" distR="5080" simplePos="0" relativeHeight="12" behindDoc="1" locked="0" layoutInCell="0" allowOverlap="1" wp14:anchorId="13AC54ED">
              <wp:simplePos x="0" y="0"/>
              <wp:positionH relativeFrom="page">
                <wp:align>center</wp:align>
              </wp:positionH>
              <wp:positionV relativeFrom="page">
                <wp:align>bottom</wp:align>
              </wp:positionV>
              <wp:extent cx="3100070" cy="335280"/>
              <wp:effectExtent l="0" t="0" r="0" b="0"/>
              <wp:wrapNone/>
              <wp:docPr id="4" name="Pole tekstowe 3" descr="Confidential - Not for Public Consumption or Distribution"/>
              <a:graphic xmlns:a="http://schemas.openxmlformats.org/drawingml/2006/main">
                <a:graphicData uri="http://schemas.microsoft.com/office/word/2010/wordprocessingShape">
                  <wps:wsp>
                    <wps:cNvSpPr/>
                    <wps:spPr>
                      <a:xfrm>
                        <a:off x="0" y="0"/>
                        <a:ext cx="3099960" cy="335160"/>
                      </a:xfrm>
                      <a:prstGeom prst="rect">
                        <a:avLst/>
                      </a:prstGeom>
                      <a:noFill/>
                      <a:ln w="0">
                        <a:noFill/>
                      </a:ln>
                    </wps:spPr>
                    <wps:style>
                      <a:lnRef idx="0"/>
                      <a:fillRef idx="0"/>
                      <a:effectRef idx="0"/>
                      <a:fontRef idx="minor"/>
                    </wps:style>
                    <wps:txbx>
                      <w:txbxContent>
                        <w:p>
                          <w:pPr>
                            <w:pStyle w:val="Zawartoramki"/>
                            <w:spacing w:before="0" w:after="0"/>
                            <w:rPr>
                              <w:rFonts w:ascii="Aptos" w:hAnsi="Aptos" w:eastAsia="Aptos" w:cs="Aptos"/>
                              <w:color w:val="000000"/>
                              <w:sz w:val="20"/>
                              <w:szCs w:val="20"/>
                              <w:lang w:val="en-GB"/>
                            </w:rPr>
                          </w:pPr>
                          <w:r>
                            <w:rPr>
                              <w:rFonts w:eastAsia="Aptos" w:cs="Aptos" w:ascii="Aptos" w:hAnsi="Aptos"/>
                              <w:color w:val="000000"/>
                              <w:sz w:val="20"/>
                              <w:szCs w:val="20"/>
                              <w:lang w:val="en-GB"/>
                            </w:rPr>
                          </w:r>
                        </w:p>
                      </w:txbxContent>
                    </wps:txbx>
                    <wps:bodyPr lIns="0" rIns="0" tIns="0" bIns="190440" anchor="b">
                      <a:prstTxWarp prst="textNoShape"/>
                      <a:spAutoFit/>
                    </wps:bodyPr>
                  </wps:wsp>
                </a:graphicData>
              </a:graphic>
            </wp:anchor>
          </w:drawing>
        </mc:Choice>
        <mc:Fallback>
          <w:pict>
            <v:rect id="shape_0" stroked="f" o:allowincell="f" style="position:absolute;margin-left:175.6pt;margin-top:815.45pt;width:244.05pt;height:26.35pt;mso-wrap-style:none;v-text-anchor:middle;mso-position-horizontal:center;mso-position-horizontal-relative:page;mso-position-vertical:bottom;mso-position-vertical-relative:page" wp14:anchorId="13AC54ED">
              <v:fill o:detectmouseclick="t" on="false"/>
              <v:stroke color="#3465a4" joinstyle="round" endcap="flat"/>
              <v:textbox>
                <w:txbxContent>
                  <w:p>
                    <w:pPr>
                      <w:pStyle w:val="Zawartoramki"/>
                      <w:spacing w:before="0" w:after="0"/>
                      <w:rPr>
                        <w:rFonts w:ascii="Aptos" w:hAnsi="Aptos" w:eastAsia="Aptos" w:cs="Aptos"/>
                        <w:color w:val="000000"/>
                        <w:sz w:val="20"/>
                        <w:szCs w:val="20"/>
                        <w:lang w:val="en-GB"/>
                      </w:rPr>
                    </w:pPr>
                    <w:r>
                      <w:rPr>
                        <w:rFonts w:eastAsia="Aptos" w:cs="Aptos" w:ascii="Aptos" w:hAnsi="Aptos"/>
                        <w:color w:val="000000"/>
                        <w:sz w:val="20"/>
                        <w:szCs w:val="20"/>
                        <w:lang w:val="en-GB"/>
                      </w:rPr>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distT="0" distB="0" distL="0" distR="5080" simplePos="0" relativeHeight="12" behindDoc="1" locked="0" layoutInCell="0" allowOverlap="1" wp14:anchorId="13AC54ED">
              <wp:simplePos x="0" y="0"/>
              <wp:positionH relativeFrom="page">
                <wp:align>center</wp:align>
              </wp:positionH>
              <wp:positionV relativeFrom="page">
                <wp:align>bottom</wp:align>
              </wp:positionV>
              <wp:extent cx="3100070" cy="335280"/>
              <wp:effectExtent l="0" t="0" r="0" b="0"/>
              <wp:wrapNone/>
              <wp:docPr id="5" name="Pole tekstowe 3" descr="Confidential - Not for Public Consumption or Distribution"/>
              <a:graphic xmlns:a="http://schemas.openxmlformats.org/drawingml/2006/main">
                <a:graphicData uri="http://schemas.microsoft.com/office/word/2010/wordprocessingShape">
                  <wps:wsp>
                    <wps:cNvSpPr/>
                    <wps:spPr>
                      <a:xfrm>
                        <a:off x="0" y="0"/>
                        <a:ext cx="3099960" cy="335160"/>
                      </a:xfrm>
                      <a:prstGeom prst="rect">
                        <a:avLst/>
                      </a:prstGeom>
                      <a:noFill/>
                      <a:ln w="0">
                        <a:noFill/>
                      </a:ln>
                    </wps:spPr>
                    <wps:style>
                      <a:lnRef idx="0"/>
                      <a:fillRef idx="0"/>
                      <a:effectRef idx="0"/>
                      <a:fontRef idx="minor"/>
                    </wps:style>
                    <wps:txbx>
                      <w:txbxContent>
                        <w:p>
                          <w:pPr>
                            <w:pStyle w:val="Zawartoramki"/>
                            <w:spacing w:before="0" w:after="0"/>
                            <w:rPr>
                              <w:rFonts w:ascii="Aptos" w:hAnsi="Aptos" w:eastAsia="Aptos" w:cs="Aptos"/>
                              <w:color w:val="000000"/>
                              <w:sz w:val="20"/>
                              <w:szCs w:val="20"/>
                              <w:lang w:val="en-GB"/>
                            </w:rPr>
                          </w:pPr>
                          <w:r>
                            <w:rPr>
                              <w:rFonts w:eastAsia="Aptos" w:cs="Aptos" w:ascii="Aptos" w:hAnsi="Aptos"/>
                              <w:color w:val="000000"/>
                              <w:sz w:val="20"/>
                              <w:szCs w:val="20"/>
                              <w:lang w:val="en-GB"/>
                            </w:rPr>
                          </w:r>
                        </w:p>
                      </w:txbxContent>
                    </wps:txbx>
                    <wps:bodyPr lIns="0" rIns="0" tIns="0" bIns="190440" anchor="b">
                      <a:prstTxWarp prst="textNoShape"/>
                      <a:spAutoFit/>
                    </wps:bodyPr>
                  </wps:wsp>
                </a:graphicData>
              </a:graphic>
            </wp:anchor>
          </w:drawing>
        </mc:Choice>
        <mc:Fallback>
          <w:pict>
            <v:rect id="shape_0" stroked="f" o:allowincell="f" style="position:absolute;margin-left:175.6pt;margin-top:815.45pt;width:244.05pt;height:26.35pt;mso-wrap-style:none;v-text-anchor:middle;mso-position-horizontal:center;mso-position-horizontal-relative:page;mso-position-vertical:bottom;mso-position-vertical-relative:page" wp14:anchorId="13AC54ED">
              <v:fill o:detectmouseclick="t" on="false"/>
              <v:stroke color="#3465a4" joinstyle="round" endcap="flat"/>
              <v:textbox>
                <w:txbxContent>
                  <w:p>
                    <w:pPr>
                      <w:pStyle w:val="Zawartoramki"/>
                      <w:spacing w:before="0" w:after="0"/>
                      <w:rPr>
                        <w:rFonts w:ascii="Aptos" w:hAnsi="Aptos" w:eastAsia="Aptos" w:cs="Aptos"/>
                        <w:color w:val="000000"/>
                        <w:sz w:val="20"/>
                        <w:szCs w:val="20"/>
                        <w:lang w:val="en-GB"/>
                      </w:rPr>
                    </w:pPr>
                    <w:r>
                      <w:rPr>
                        <w:rFonts w:eastAsia="Aptos" w:cs="Aptos" w:ascii="Aptos" w:hAnsi="Aptos"/>
                        <w:color w:val="000000"/>
                        <w:sz w:val="20"/>
                        <w:szCs w:val="20"/>
                        <w:lang w:val="en-GB"/>
                      </w:rPr>
                    </w:r>
                  </w:p>
                </w:txbxContent>
              </v:textbox>
              <w10:wrap type="non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160"/>
        <w:rPr>
          <w:sz w:val="20"/>
          <w:szCs w:val="20"/>
        </w:rPr>
      </w:pPr>
      <w:r>
        <w:rPr>
          <w:rStyle w:val="Znakiprzypiswdolnych"/>
        </w:rPr>
        <w:footnoteRef/>
      </w:r>
      <w:r>
        <w:rPr>
          <w:sz w:val="20"/>
          <w:szCs w:val="20"/>
        </w:rPr>
        <w:t xml:space="preserve"> </w:t>
      </w:r>
      <w:r>
        <w:fldChar w:fldCharType="begin"/>
      </w:r>
      <w:r>
        <w:rPr>
          <w:rStyle w:val="Hyperlink"/>
          <w:sz w:val="20"/>
          <w:szCs w:val="20"/>
        </w:rPr>
        <w:instrText xml:space="preserve"> HYPERLINK "https://www.deepl.com/en/translator" \l "_ftnref1"</w:instrText>
      </w:r>
      <w:r>
        <w:rPr>
          <w:rStyle w:val="Hyperlink"/>
          <w:sz w:val="20"/>
          <w:szCs w:val="20"/>
        </w:rPr>
        <w:fldChar w:fldCharType="separate"/>
      </w:r>
      <w:r>
        <w:rPr>
          <w:rStyle w:val="Hyperlink"/>
          <w:sz w:val="20"/>
          <w:szCs w:val="20"/>
        </w:rPr>
        <w:t>[1]</w:t>
      </w:r>
      <w:r>
        <w:rPr>
          <w:rStyle w:val="Hyperlink"/>
          <w:sz w:val="20"/>
          <w:szCs w:val="20"/>
        </w:rPr>
        <w:fldChar w:fldCharType="end"/>
      </w:r>
      <w:r>
        <w:rPr>
          <w:sz w:val="20"/>
          <w:szCs w:val="20"/>
        </w:rPr>
        <w:t xml:space="preserve"> </w:t>
      </w:r>
      <w:hyperlink r:id="rId1">
        <w:r>
          <w:rPr>
            <w:rStyle w:val="Hyperlink"/>
            <w:sz w:val="20"/>
            <w:szCs w:val="20"/>
          </w:rPr>
          <w:t>Dokument potwierdzający - HPE Storage substantiation.</w:t>
        </w:r>
      </w:hyperlink>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0" distR="0" simplePos="0" relativeHeight="18" behindDoc="1" locked="0" layoutInCell="0" allowOverlap="1">
          <wp:simplePos x="0" y="0"/>
          <wp:positionH relativeFrom="margin">
            <wp:align>right</wp:align>
          </wp:positionH>
          <wp:positionV relativeFrom="paragraph">
            <wp:posOffset>-133985</wp:posOffset>
          </wp:positionV>
          <wp:extent cx="1392555" cy="397510"/>
          <wp:effectExtent l="0" t="0" r="0" b="0"/>
          <wp:wrapNone/>
          <wp:docPr id="1" name="Picture 1" descr="A black letter with a white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letter with a white letter&#10;&#10;AI-generated content may be incorrect."/>
                  <pic:cNvPicPr>
                    <a:picLocks noChangeAspect="1" noChangeArrowheads="1"/>
                  </pic:cNvPicPr>
                </pic:nvPicPr>
                <pic:blipFill>
                  <a:blip r:embed="rId1"/>
                  <a:stretch>
                    <a:fillRect/>
                  </a:stretch>
                </pic:blipFill>
                <pic:spPr bwMode="auto">
                  <a:xfrm>
                    <a:off x="0" y="0"/>
                    <a:ext cx="1392555" cy="39751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0" distR="0" simplePos="0" relativeHeight="18" behindDoc="1" locked="0" layoutInCell="0" allowOverlap="1">
          <wp:simplePos x="0" y="0"/>
          <wp:positionH relativeFrom="margin">
            <wp:align>right</wp:align>
          </wp:positionH>
          <wp:positionV relativeFrom="paragraph">
            <wp:posOffset>-133985</wp:posOffset>
          </wp:positionV>
          <wp:extent cx="1392555" cy="397510"/>
          <wp:effectExtent l="0" t="0" r="0" b="0"/>
          <wp:wrapNone/>
          <wp:docPr id="2" name="Picture 1" descr="A black letter with a white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letter with a white letter&#10;&#10;AI-generated content may be incorrect."/>
                  <pic:cNvPicPr>
                    <a:picLocks noChangeAspect="1" noChangeArrowheads="1"/>
                  </pic:cNvPicPr>
                </pic:nvPicPr>
                <pic:blipFill>
                  <a:blip r:embed="rId1"/>
                  <a:stretch>
                    <a:fillRect/>
                  </a:stretch>
                </pic:blipFill>
                <pic:spPr bwMode="auto">
                  <a:xfrm>
                    <a:off x="0" y="0"/>
                    <a:ext cx="1392555" cy="39751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pl-PL" w:eastAsia="en-US" w:bidi="ar-SA"/>
      <w14:ligatures w14:val="standardContextual"/>
    </w:rPr>
  </w:style>
  <w:style w:type="paragraph" w:styleId="Heading1">
    <w:name w:val="heading 1"/>
    <w:basedOn w:val="Normal"/>
    <w:next w:val="Normal"/>
    <w:link w:val="Nagwek1Znak"/>
    <w:uiPriority w:val="9"/>
    <w:qFormat/>
    <w:rsid w:val="006447fa"/>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Nagwek2Znak"/>
    <w:uiPriority w:val="9"/>
    <w:semiHidden/>
    <w:unhideWhenUsed/>
    <w:qFormat/>
    <w:rsid w:val="006447fa"/>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Nagwek3Znak"/>
    <w:uiPriority w:val="9"/>
    <w:semiHidden/>
    <w:unhideWhenUsed/>
    <w:qFormat/>
    <w:rsid w:val="006447fa"/>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Nagwek4Znak"/>
    <w:uiPriority w:val="9"/>
    <w:semiHidden/>
    <w:unhideWhenUsed/>
    <w:qFormat/>
    <w:rsid w:val="006447fa"/>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Nagwek5Znak"/>
    <w:uiPriority w:val="9"/>
    <w:semiHidden/>
    <w:unhideWhenUsed/>
    <w:qFormat/>
    <w:rsid w:val="006447fa"/>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Nagwek6Znak"/>
    <w:uiPriority w:val="9"/>
    <w:semiHidden/>
    <w:unhideWhenUsed/>
    <w:qFormat/>
    <w:rsid w:val="006447fa"/>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6447fa"/>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6447fa"/>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6447fa"/>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6447fa"/>
    <w:rPr>
      <w:rFonts w:ascii="Aptos Display" w:hAnsi="Aptos Display" w:eastAsia="" w:cs="" w:asciiTheme="majorHAnsi" w:cstheme="majorBidi" w:eastAsiaTheme="majorEastAsia" w:hAnsiTheme="majorHAnsi"/>
      <w:color w:themeColor="accent1" w:themeShade="bf" w:val="0F4761"/>
      <w:sz w:val="40"/>
      <w:szCs w:val="40"/>
    </w:rPr>
  </w:style>
  <w:style w:type="character" w:styleId="Nagwek2Znak" w:customStyle="1">
    <w:name w:val="Nagłówek 2 Znak"/>
    <w:basedOn w:val="DefaultParagraphFont"/>
    <w:uiPriority w:val="9"/>
    <w:semiHidden/>
    <w:qFormat/>
    <w:rsid w:val="006447fa"/>
    <w:rPr>
      <w:rFonts w:ascii="Aptos Display" w:hAnsi="Aptos Display" w:eastAsia="" w:cs="" w:asciiTheme="majorHAnsi" w:cstheme="majorBidi" w:eastAsiaTheme="majorEastAsia" w:hAnsiTheme="majorHAnsi"/>
      <w:color w:themeColor="accent1" w:themeShade="bf" w:val="0F4761"/>
      <w:sz w:val="32"/>
      <w:szCs w:val="32"/>
    </w:rPr>
  </w:style>
  <w:style w:type="character" w:styleId="Nagwek3Znak" w:customStyle="1">
    <w:name w:val="Nagłówek 3 Znak"/>
    <w:basedOn w:val="DefaultParagraphFont"/>
    <w:uiPriority w:val="9"/>
    <w:semiHidden/>
    <w:qFormat/>
    <w:rsid w:val="006447fa"/>
    <w:rPr>
      <w:rFonts w:eastAsia="" w:cs="" w:cstheme="majorBidi" w:eastAsiaTheme="majorEastAsia"/>
      <w:color w:themeColor="accent1" w:themeShade="bf" w:val="0F4761"/>
      <w:sz w:val="28"/>
      <w:szCs w:val="28"/>
    </w:rPr>
  </w:style>
  <w:style w:type="character" w:styleId="Nagwek4Znak" w:customStyle="1">
    <w:name w:val="Nagłówek 4 Znak"/>
    <w:basedOn w:val="DefaultParagraphFont"/>
    <w:uiPriority w:val="9"/>
    <w:semiHidden/>
    <w:qFormat/>
    <w:rsid w:val="006447fa"/>
    <w:rPr>
      <w:rFonts w:eastAsia="" w:cs="" w:cstheme="majorBidi" w:eastAsiaTheme="majorEastAsia"/>
      <w:i/>
      <w:iCs/>
      <w:color w:themeColor="accent1" w:themeShade="bf" w:val="0F4761"/>
    </w:rPr>
  </w:style>
  <w:style w:type="character" w:styleId="Nagwek5Znak" w:customStyle="1">
    <w:name w:val="Nagłówek 5 Znak"/>
    <w:basedOn w:val="DefaultParagraphFont"/>
    <w:uiPriority w:val="9"/>
    <w:semiHidden/>
    <w:qFormat/>
    <w:rsid w:val="006447fa"/>
    <w:rPr>
      <w:rFonts w:eastAsia="" w:cs="" w:cstheme="majorBidi" w:eastAsiaTheme="majorEastAsia"/>
      <w:color w:themeColor="accent1" w:themeShade="bf" w:val="0F4761"/>
    </w:rPr>
  </w:style>
  <w:style w:type="character" w:styleId="Nagwek6Znak" w:customStyle="1">
    <w:name w:val="Nagłówek 6 Znak"/>
    <w:basedOn w:val="DefaultParagraphFont"/>
    <w:uiPriority w:val="9"/>
    <w:semiHidden/>
    <w:qFormat/>
    <w:rsid w:val="006447fa"/>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6447fa"/>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6447fa"/>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6447fa"/>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6447fa"/>
    <w:rPr>
      <w:rFonts w:ascii="Aptos Display" w:hAnsi="Aptos Display"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6447fa"/>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6447fa"/>
    <w:rPr>
      <w:i/>
      <w:iCs/>
      <w:color w:themeColor="text1" w:themeTint="bf" w:val="404040"/>
    </w:rPr>
  </w:style>
  <w:style w:type="character" w:styleId="IntenseEmphasis">
    <w:name w:val="Intense Emphasis"/>
    <w:basedOn w:val="DefaultParagraphFont"/>
    <w:uiPriority w:val="21"/>
    <w:qFormat/>
    <w:rsid w:val="006447fa"/>
    <w:rPr>
      <w:i/>
      <w:iCs/>
      <w:color w:themeColor="accent1" w:themeShade="bf" w:val="0F4761"/>
    </w:rPr>
  </w:style>
  <w:style w:type="character" w:styleId="CytatintensywnyZnak" w:customStyle="1">
    <w:name w:val="Cytat intensywny Znak"/>
    <w:basedOn w:val="DefaultParagraphFont"/>
    <w:link w:val="IntenseQuote"/>
    <w:uiPriority w:val="30"/>
    <w:qFormat/>
    <w:rsid w:val="006447fa"/>
    <w:rPr>
      <w:i/>
      <w:iCs/>
      <w:color w:themeColor="accent1" w:themeShade="bf" w:val="0F4761"/>
    </w:rPr>
  </w:style>
  <w:style w:type="character" w:styleId="IntenseReference">
    <w:name w:val="Intense Reference"/>
    <w:basedOn w:val="DefaultParagraphFont"/>
    <w:uiPriority w:val="32"/>
    <w:qFormat/>
    <w:rsid w:val="006447fa"/>
    <w:rPr>
      <w:b/>
      <w:bCs/>
      <w:smallCaps/>
      <w:color w:themeColor="accent1" w:themeShade="bf" w:val="0F4761"/>
      <w:spacing w:val="5"/>
    </w:rPr>
  </w:style>
  <w:style w:type="character" w:styleId="Hyperlink">
    <w:name w:val="Hyperlink"/>
    <w:basedOn w:val="DefaultParagraphFont"/>
    <w:uiPriority w:val="99"/>
    <w:unhideWhenUsed/>
    <w:rsid w:val="006447fa"/>
    <w:rPr>
      <w:color w:themeColor="hyperlink" w:val="467886"/>
      <w:u w:val="single"/>
    </w:rPr>
  </w:style>
  <w:style w:type="character" w:styleId="UnresolvedMention">
    <w:name w:val="Unresolved Mention"/>
    <w:basedOn w:val="DefaultParagraphFont"/>
    <w:uiPriority w:val="99"/>
    <w:semiHidden/>
    <w:unhideWhenUsed/>
    <w:qFormat/>
    <w:rsid w:val="006447fa"/>
    <w:rPr>
      <w:color w:val="605E5C"/>
      <w:shd w:fill="E1DFDD" w:val="clear"/>
    </w:rPr>
  </w:style>
  <w:style w:type="character" w:styleId="StopkaZnak" w:customStyle="1">
    <w:name w:val="Stopka Znak"/>
    <w:basedOn w:val="DefaultParagraphFont"/>
    <w:uiPriority w:val="99"/>
    <w:qFormat/>
    <w:rsid w:val="006447fa"/>
    <w:rPr/>
  </w:style>
  <w:style w:type="character" w:styleId="FollowedHyperlink">
    <w:name w:val="FollowedHyperlink"/>
    <w:basedOn w:val="DefaultParagraphFont"/>
    <w:uiPriority w:val="99"/>
    <w:semiHidden/>
    <w:unhideWhenUsed/>
    <w:rsid w:val="00d82b12"/>
    <w:rPr>
      <w:color w:themeColor="followedHyperlink" w:val="96607D"/>
      <w:u w:val="single"/>
    </w:rPr>
  </w:style>
  <w:style w:type="character" w:styleId="NagwekZnak" w:customStyle="1">
    <w:name w:val="Nagłówek Znak"/>
    <w:basedOn w:val="DefaultParagraphFont"/>
    <w:uiPriority w:val="99"/>
    <w:qFormat/>
    <w:rsid w:val="00be7506"/>
    <w:rPr/>
  </w:style>
  <w:style w:type="character" w:styleId="TekstprzypisudolnegoZnak" w:customStyle="1">
    <w:name w:val="Tekst przypisu dolnego Znak"/>
    <w:basedOn w:val="DefaultParagraphFont"/>
    <w:uiPriority w:val="99"/>
    <w:semiHidden/>
    <w:qFormat/>
    <w:rsid w:val="005c59e6"/>
    <w:rPr>
      <w:sz w:val="20"/>
      <w:szCs w:val="20"/>
    </w:rPr>
  </w:style>
  <w:style w:type="character" w:styleId="Znakiprzypiswdolnych">
    <w:name w:val="Znaki przypisów dolnych"/>
    <w:basedOn w:val="DefaultParagraphFont"/>
    <w:uiPriority w:val="99"/>
    <w:semiHidden/>
    <w:unhideWhenUsed/>
    <w:qFormat/>
    <w:rsid w:val="005c59e6"/>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Znakiprzypiswkocowych">
    <w:name w:val="Znaki przypisów końcowych"/>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itle">
    <w:name w:val="Title"/>
    <w:basedOn w:val="Normal"/>
    <w:next w:val="Normal"/>
    <w:link w:val="TytuZnak"/>
    <w:uiPriority w:val="10"/>
    <w:qFormat/>
    <w:rsid w:val="006447fa"/>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6447fa"/>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6447fa"/>
    <w:pPr>
      <w:spacing w:before="160" w:after="160"/>
      <w:jc w:val="center"/>
    </w:pPr>
    <w:rPr>
      <w:i/>
      <w:iCs/>
      <w:color w:themeColor="text1" w:themeTint="bf" w:val="404040"/>
    </w:rPr>
  </w:style>
  <w:style w:type="paragraph" w:styleId="ListParagraph">
    <w:name w:val="List Paragraph"/>
    <w:basedOn w:val="Normal"/>
    <w:uiPriority w:val="34"/>
    <w:qFormat/>
    <w:rsid w:val="006447fa"/>
    <w:pPr>
      <w:spacing w:before="0" w:after="160"/>
      <w:ind w:start="720"/>
      <w:contextualSpacing/>
    </w:pPr>
    <w:rPr/>
  </w:style>
  <w:style w:type="paragraph" w:styleId="IntenseQuote">
    <w:name w:val="Intense Quote"/>
    <w:basedOn w:val="Normal"/>
    <w:next w:val="Normal"/>
    <w:link w:val="CytatintensywnyZnak"/>
    <w:uiPriority w:val="30"/>
    <w:qFormat/>
    <w:rsid w:val="006447fa"/>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Gwkaistopka">
    <w:name w:val="Główka i stopka"/>
    <w:basedOn w:val="Normal"/>
    <w:qFormat/>
    <w:pPr/>
    <w:rPr/>
  </w:style>
  <w:style w:type="paragraph" w:styleId="Footer">
    <w:name w:val="footer"/>
    <w:basedOn w:val="Normal"/>
    <w:link w:val="StopkaZnak"/>
    <w:uiPriority w:val="99"/>
    <w:unhideWhenUsed/>
    <w:rsid w:val="006447fa"/>
    <w:pPr>
      <w:tabs>
        <w:tab w:val="clear" w:pos="708"/>
        <w:tab w:val="center" w:pos="4536" w:leader="none"/>
        <w:tab w:val="right" w:pos="9072" w:leader="none"/>
      </w:tabs>
      <w:spacing w:lineRule="auto" w:line="240" w:before="0" w:after="0"/>
    </w:pPr>
    <w:rPr/>
  </w:style>
  <w:style w:type="paragraph" w:styleId="Header">
    <w:name w:val="header"/>
    <w:basedOn w:val="Normal"/>
    <w:link w:val="NagwekZnak"/>
    <w:uiPriority w:val="99"/>
    <w:unhideWhenUsed/>
    <w:rsid w:val="00be7506"/>
    <w:pPr>
      <w:tabs>
        <w:tab w:val="clear" w:pos="708"/>
        <w:tab w:val="center" w:pos="4536" w:leader="none"/>
        <w:tab w:val="right" w:pos="9072" w:leader="none"/>
      </w:tabs>
      <w:spacing w:lineRule="auto" w:line="240" w:before="0" w:after="0"/>
    </w:pPr>
    <w:rPr/>
  </w:style>
  <w:style w:type="paragraph" w:styleId="Revision">
    <w:name w:val="Revision"/>
    <w:uiPriority w:val="99"/>
    <w:semiHidden/>
    <w:qFormat/>
    <w:rsid w:val="00be7506"/>
    <w:pPr>
      <w:widowControl/>
      <w:bidi w:val="0"/>
      <w:spacing w:lineRule="auto" w:line="240" w:before="0" w:after="0"/>
      <w:jc w:val="start"/>
    </w:pPr>
    <w:rPr>
      <w:rFonts w:ascii="Aptos" w:hAnsi="Aptos" w:eastAsia="Aptos" w:cs="" w:asciiTheme="minorHAnsi" w:cstheme="minorBidi" w:eastAsiaTheme="minorHAnsi" w:hAnsiTheme="minorHAnsi"/>
      <w:color w:val="auto"/>
      <w:kern w:val="2"/>
      <w:sz w:val="24"/>
      <w:szCs w:val="24"/>
      <w:lang w:val="pl-PL" w:eastAsia="en-US" w:bidi="ar-SA"/>
      <w14:ligatures w14:val="standardContextual"/>
    </w:rPr>
  </w:style>
  <w:style w:type="paragraph" w:styleId="FootnoteText">
    <w:name w:val="footnote text"/>
    <w:basedOn w:val="Normal"/>
    <w:link w:val="TekstprzypisudolnegoZnak"/>
    <w:uiPriority w:val="99"/>
    <w:semiHidden/>
    <w:unhideWhenUsed/>
    <w:rsid w:val="005c59e6"/>
    <w:pPr>
      <w:spacing w:lineRule="auto" w:line="240" w:before="0" w:after="0"/>
    </w:pPr>
    <w:rPr>
      <w:sz w:val="20"/>
      <w:szCs w:val="20"/>
    </w:rPr>
  </w:style>
  <w:style w:type="paragraph" w:styleId="Zawartoramki">
    <w:name w:val="Zawartość ramki"/>
    <w:basedOn w:val="Normal"/>
    <w:qFormat/>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hpe.com/us/en/home.html" TargetMode="External"/><Relationship Id="rId3" Type="http://schemas.openxmlformats.org/officeDocument/2006/relationships/hyperlink" Target="https://www.hpe.com/us/en/greenlake.html" TargetMode="External"/><Relationship Id="rId4" Type="http://schemas.openxmlformats.org/officeDocument/2006/relationships/hyperlink" Target="https://www.hpe.com/us/en/morpheus-enterprise-software.html" TargetMode="External"/><Relationship Id="rId5" Type="http://schemas.openxmlformats.org/officeDocument/2006/relationships/hyperlink" Target="https://www.hpe.com/us/en/zerto-software.html" TargetMode="External"/><Relationship Id="rId6" Type="http://schemas.openxmlformats.org/officeDocument/2006/relationships/hyperlink" Target="https://www.hpe.com/us/en/storage/simplivity.html" TargetMode="External"/><Relationship Id="rId7" Type="http://schemas.openxmlformats.org/officeDocument/2006/relationships/hyperlink" Target="https://www.hpe.com/us/en/morpheus-vm-essentials-software.html" TargetMode="External"/><Relationship Id="rId8" Type="http://schemas.openxmlformats.org/officeDocument/2006/relationships/hyperlink" Target="https://www.hpe.com/us/en/storage/storeonce.html" TargetMode="External"/><Relationship Id="rId9" Type="http://schemas.openxmlformats.org/officeDocument/2006/relationships/hyperlink" Target="https://www.hpe.com/us/en/alletra-storage-mp-x10000.html" TargetMode="External"/><Relationship Id="rId10" Type="http://schemas.openxmlformats.org/officeDocument/2006/relationships/hyperlink" Target="https://www.hpe.com/us/en/alletra-storage-mp-b10000.html" TargetMode="External"/><Relationship Id="rId11" Type="http://schemas.openxmlformats.org/officeDocument/2006/relationships/hyperlink" Target="https://www.hpe.com/us/en/newsroom/press-release/2026/03/hpe-introduces-sweeping-security-advancements-to-secure-ai-adoption-and-strengthen-enterprise-resiliency.html" TargetMode="External"/><Relationship Id="rId12" Type="http://schemas.openxmlformats.org/officeDocument/2006/relationships/hyperlink" Target="https://community.hpe.com/t5/around-the-storage-block/announcing-new-agentic-automation-with-enhanced-scale-out-and/ba-p/7266598" TargetMode="External"/><Relationship Id="rId13" Type="http://schemas.openxmlformats.org/officeDocument/2006/relationships/hyperlink" Target="https://community.hpe.com/t5/around-the-storage-block/advancing-the-x10000-for-ai-throughput-data-intelligence-and/ba-p/7266569" TargetMode="External"/><Relationship Id="rId14" Type="http://schemas.openxmlformats.org/officeDocument/2006/relationships/hyperlink" Target="https://community.hpe.com/t5/around-the-storage-block/optimizing-hybrid-data-management-for-ai-and-analytics-with-hpe/ba-p/7266568" TargetMode="External"/><Relationship Id="rId15" Type="http://schemas.openxmlformats.org/officeDocument/2006/relationships/hyperlink" Target="https://community.hpe.com/t5/around-the-storage-block/optimize-your-data-storage-investments-with-a-guarantee/ba-p/7266594" TargetMode="External"/><Relationship Id="rId16" Type="http://schemas.openxmlformats.org/officeDocument/2006/relationships/hyperlink" Target="https://www.hpe.com/us/en/newsroom/press-release/2026/03/hpe-accelerates-secure-scalable-production-ready-ai-through-new-innovations-with-nvidia.html" TargetMode="External"/><Relationship Id="rId17" Type="http://schemas.openxmlformats.org/officeDocument/2006/relationships/hyperlink" Target="https://www.hpe.com/us/en/newsroom/press-release/2025/12/hpe-shapes-future-of-hybrid-cloud-with-innovations-across-virtualization-security-and-ai.html" TargetMode="External"/><Relationship Id="rId18" Type="http://schemas.openxmlformats.org/officeDocument/2006/relationships/hyperlink" Target="https://www.hpe.com/us/en/home.html" TargetMode="External"/><Relationship Id="rId19" Type="http://schemas.openxmlformats.org/officeDocument/2006/relationships/hyperlink" Target="https://www.hpe.com/us/en/home.html"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header" Target="header3.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oter" Target="footer3.xml"/><Relationship Id="rId26" Type="http://schemas.openxmlformats.org/officeDocument/2006/relationships/footnotes" Target="footnotes.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Relationship Id="rId31"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hpe.com/psnow/doc/a00058506enw"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1E351-0D52-4AD6-AA9C-1F5BEC8CB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LibreOffice/25.8.6.2$Windows_X86_64 LibreOffice_project/b4b39682cd9868fa725bc664aff94278d315bd04</Application>
  <AppVersion>15.0000</AppVersion>
  <Pages>5</Pages>
  <Words>1489</Words>
  <Characters>10065</Characters>
  <CharactersWithSpaces>11495</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2026-05-14T09:19:00Z</dcterms:created>
  <dc:creator>Anna Bodnar (Omnicom)</dc:creator>
  <dc:description/>
  <dc:language>pl-PL</dc:language>
  <cp:lastModifiedBy/>
  <dcterms:modified xsi:type="dcterms:W3CDTF">2026-05-14T17:46:02Z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#000000,10,Aptos</vt:lpwstr>
  </property>
  <property fmtid="{D5CDD505-2E9C-101B-9397-08002B2CF9AE}" pid="3" name="ClassificationContentMarkingFooterShapeIds">
    <vt:lpwstr>a0bcd1a,662783bb,73e4a85f</vt:lpwstr>
  </property>
  <property fmtid="{D5CDD505-2E9C-101B-9397-08002B2CF9AE}" pid="4" name="ClassificationContentMarkingFooterText">
    <vt:lpwstr>Confidential - Not for Public Consumption or Distribution</vt:lpwstr>
  </property>
  <property fmtid="{D5CDD505-2E9C-101B-9397-08002B2CF9AE}" pid="5" name="MSIP_Label_8e19d756-792e-42a1-bcad-4cb9051ddd2d_ActionId">
    <vt:lpwstr>5ade9f81-c842-4664-bdb0-bef05048595a</vt:lpwstr>
  </property>
  <property fmtid="{D5CDD505-2E9C-101B-9397-08002B2CF9AE}" pid="6" name="MSIP_Label_8e19d756-792e-42a1-bcad-4cb9051ddd2d_ContentBits">
    <vt:lpwstr>2</vt:lpwstr>
  </property>
  <property fmtid="{D5CDD505-2E9C-101B-9397-08002B2CF9AE}" pid="7" name="MSIP_Label_8e19d756-792e-42a1-bcad-4cb9051ddd2d_Enabled">
    <vt:lpwstr>true</vt:lpwstr>
  </property>
  <property fmtid="{D5CDD505-2E9C-101B-9397-08002B2CF9AE}" pid="8" name="MSIP_Label_8e19d756-792e-42a1-bcad-4cb9051ddd2d_Method">
    <vt:lpwstr>Standard</vt:lpwstr>
  </property>
  <property fmtid="{D5CDD505-2E9C-101B-9397-08002B2CF9AE}" pid="9" name="MSIP_Label_8e19d756-792e-42a1-bcad-4cb9051ddd2d_Name">
    <vt:lpwstr>Confidential</vt:lpwstr>
  </property>
  <property fmtid="{D5CDD505-2E9C-101B-9397-08002B2CF9AE}" pid="10" name="MSIP_Label_8e19d756-792e-42a1-bcad-4cb9051ddd2d_SetDate">
    <vt:lpwstr>2026-05-13T12:39:38Z</vt:lpwstr>
  </property>
  <property fmtid="{D5CDD505-2E9C-101B-9397-08002B2CF9AE}" pid="11" name="MSIP_Label_8e19d756-792e-42a1-bcad-4cb9051ddd2d_SiteId">
    <vt:lpwstr>41eb501a-f671-4ce0-a5bf-b64168c3705f</vt:lpwstr>
  </property>
  <property fmtid="{D5CDD505-2E9C-101B-9397-08002B2CF9AE}" pid="12" name="MSIP_Label_8e19d756-792e-42a1-bcad-4cb9051ddd2d_Tag">
    <vt:lpwstr>10, 3, 0, 1</vt:lpwstr>
  </property>
</Properties>
</file>