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b/>
          <w:bCs/>
          <w:lang w:val="pl-PL"/>
        </w:rPr>
      </w:pPr>
      <w:r>
        <w:rPr>
          <w:b/>
          <w:bCs/>
          <w:sz w:val="28"/>
          <w:szCs w:val="28"/>
          <w:lang w:val="pl-PL"/>
        </w:rPr>
        <w:t>Fortinet rozszerza serię G firewalli FortiGate, aby zabezpieczać środowiska AI od centrum danych po brzeg sieci w przedsiębiorstwach</w:t>
      </w:r>
    </w:p>
    <w:p>
      <w:pPr>
        <w:pStyle w:val="Normal"/>
        <w:spacing w:before="0" w:after="240"/>
        <w:jc w:val="center"/>
        <w:rPr>
          <w:i/>
          <w:iCs/>
          <w:lang w:val="pl-PL"/>
        </w:rPr>
      </w:pPr>
      <w:r>
        <w:rPr>
          <w:i/>
          <w:lang w:val="pl-PL"/>
        </w:rPr>
        <w:t>Nowe modele FortiGate 3500G i 400G zapewniają wydajność akcelerowaną sprzętowo za pomocą układów ASIC, elastyczność w zakresie realizacji połączeń oraz mechanizmy integralności wymuszane na poziomie sprzętu, w celu eliminacji kompromisów pomiędzy skalowalnością a bezpieczeństwem.</w:t>
      </w:r>
      <w:r>
        <w:rPr>
          <w:i/>
          <w:iCs/>
          <w:lang w:val="pl-PL"/>
        </w:rPr>
        <w:t xml:space="preserve"> </w:t>
      </w:r>
    </w:p>
    <w:p>
      <w:pPr>
        <w:pStyle w:val="Normal"/>
        <w:spacing w:before="0" w:after="240"/>
        <w:jc w:val="both"/>
        <w:rPr>
          <w:lang w:val="pl-PL"/>
        </w:rPr>
      </w:pPr>
      <w:r>
        <w:rPr>
          <w:b/>
          <w:bCs/>
          <w:lang w:val="pl-PL"/>
        </w:rPr>
        <w:t xml:space="preserve">[Warszawa, 26.05.2026] </w:t>
      </w:r>
      <w:r>
        <w:rPr>
          <w:lang w:val="pl-PL"/>
        </w:rPr>
        <w:t>Fortinet, światowy lider w dziedzinie cyberbezpieczeństwa, który zapewnia konwergencję sieci i rozwiązań ochronnych</w:t>
      </w:r>
      <w:r>
        <w:rPr>
          <w:b/>
          <w:bCs/>
          <w:lang w:val="pl-PL"/>
        </w:rPr>
        <w:t xml:space="preserve">, </w:t>
      </w:r>
      <w:r>
        <w:rPr>
          <w:rFonts w:eastAsia="Segoe UI"/>
          <w:lang w:val="pl-PL"/>
        </w:rPr>
        <w:t>rozbudował serię G firewalli FortiGate o nowe urządzenia zaprojektowane z myślą o zabezpieczaniu i skalowaniu sieci nowoczesnych przedsiębiorstw. Modele FortiGate 3500G i 400G zapewniają wysoką wydajność ochrony przy rosnącym udziale ruchu szyfrowanego, obciążeń związanych ze sztuczną inteligencją oraz środowisk rozproszonych. Dzięki temu umożliwiają przedsiębiorstwom wzmocnienie ich zabezpieczeń, utrzymanie wydajności i uproszczenie operacji w infrastrukturach hybrydowych. Nowe zapory sieciowe, zbudowane na bazie procesorów NP7 i SP5 oraz systemu operacyjnego FortiOS, łączą zaawansowane zabezpieczenia przed zagrożeniami, zintegrowane inteligentne mechanizmy analityczne, a także ochronę egzekwowaną na poziomie sprzętu.</w:t>
      </w:r>
    </w:p>
    <w:p>
      <w:pPr>
        <w:pStyle w:val="Normal"/>
        <w:spacing w:before="0" w:after="240"/>
        <w:jc w:val="both"/>
        <w:rPr>
          <w:lang w:val="pl-PL"/>
        </w:rPr>
      </w:pPr>
      <w:r>
        <w:rPr>
          <w:lang w:val="pl-PL"/>
        </w:rPr>
        <w:t xml:space="preserve">– </w:t>
      </w:r>
      <w:r>
        <w:rPr>
          <w:i/>
          <w:iCs/>
          <w:lang w:val="pl-PL"/>
        </w:rPr>
        <w:t>Przedsiębiorstwa modernizujące infrastrukturę pod kątem obsługi mechanizmów sztucznej inteligencji i coraz bardziej rozproszonych środowisk potrzebują platform bezpieczeństwa, które zapewniają jednocześnie wysoką wydajność i skuteczną ochronę</w:t>
      </w:r>
      <w:r>
        <w:rPr>
          <w:lang w:val="pl-PL"/>
        </w:rPr>
        <w:t xml:space="preserve"> – mówi Ken Xie, założyciel, prezes zarządu i dyrektor generalny Fortinet. – </w:t>
      </w:r>
      <w:r>
        <w:rPr>
          <w:i/>
          <w:iCs/>
          <w:lang w:val="pl-PL"/>
        </w:rPr>
        <w:t xml:space="preserve">Rozbudowa portfolio firewalli FortiGate serii G to element realizacji naszego zobowiązania do pomocy klientom w upraszczaniu ich architektury, ograniczaniu złożoności oraz ochronie wdrożeń AI w całym środowisku – od centrum danych po brzeg sieci. </w:t>
      </w:r>
    </w:p>
    <w:p>
      <w:pPr>
        <w:pStyle w:val="Normal"/>
        <w:jc w:val="both"/>
        <w:rPr>
          <w:b/>
          <w:bCs/>
          <w:lang w:val="pl-PL"/>
        </w:rPr>
      </w:pPr>
      <w:r>
        <w:rPr>
          <w:b/>
          <w:bCs/>
          <w:lang w:val="pl-PL"/>
        </w:rPr>
        <w:t>Widoczność i kontrola AI w środowiskach wysokiej wydajności</w:t>
      </w:r>
    </w:p>
    <w:p>
      <w:pPr>
        <w:pStyle w:val="Normal"/>
        <w:spacing w:before="0" w:after="240"/>
        <w:jc w:val="both"/>
        <w:rPr>
          <w:lang w:val="pl-PL"/>
        </w:rPr>
      </w:pPr>
      <w:r>
        <w:rPr>
          <w:lang w:val="pl-PL"/>
        </w:rPr>
        <w:t>Wraz ze wzrostem wolumenu ruchu szyfrowanego, komunikacji wewnątrz sieci oraz zagrożeń wykorzystujących sztuczną inteligencję, klasyczne architektury firewalli osiągają swoje granice, zmuszając przedsiębiorstwa do wyboru pomiędzy wydajnością, a poziomem ochrony. Firewalle FortiGate z serii G eliminują konieczność takiego kompromisu dzięki zunifikowanej platformie zbudowanej na bazie akcelerujących ich pracę, opracowanych przez Fortinet procesorów ASIC. Platforma zapewnia przewidywalną wydajność, zintegrowaną analizę zagrożeń oraz spójną działalność operacyjną w środowiskach hybrydowych.</w:t>
      </w:r>
    </w:p>
    <w:p>
      <w:pPr>
        <w:pStyle w:val="Normal"/>
        <w:spacing w:before="0" w:after="240"/>
        <w:jc w:val="both"/>
        <w:rPr>
          <w:lang w:val="pl-PL"/>
        </w:rPr>
      </w:pPr>
      <w:r>
        <w:rPr>
          <w:lang w:val="pl-PL"/>
        </w:rPr>
        <w:t>Modele FortiGate 3500G i 400G rozszerzają opartą na sztucznej inteligencji platformę Fortinet Security Fabric o natywne wykrywanie tzw. shadow AI (nieautoryzowanego wykorzystywania narzędzi sztucznej inteligencji), zapewniając wgląd w czasie rzeczywistym w użycie niesankcjonowanych aplikacji AI, jednocześnie wymuszając kontrolę mającą na celu ochronę danych wrażliwych. Usługi bezpieczeństwa FortiGuard wspierane przez sztuczną inteligencję wykorzystują aktualizowaną na bieżąco wiedzę oraz mechanizmy uczenia maszynowego w celu identyfikowania oraz priorytetyzowania zagrożeń jak również automatycznej ochrony. Natomiast system operacyjny FortiOS 8.0 rozszerza widoczność poprzez inspekcję ruchu MCP oraz komunikacji między agentami, co pozwala lepiej kontrolować dostęp oraz przepływ danych w środowiskach AI.</w:t>
      </w:r>
    </w:p>
    <w:p>
      <w:pPr>
        <w:pStyle w:val="Normal"/>
        <w:jc w:val="both"/>
        <w:rPr>
          <w:b/>
          <w:bCs/>
          <w:lang w:val="pl-PL"/>
        </w:rPr>
      </w:pPr>
      <w:r>
        <w:rPr>
          <w:b/>
          <w:bCs/>
          <w:lang w:val="pl-PL"/>
        </w:rPr>
        <w:t>FortiGate 3500G: stworzony z myślą o nowej erze skalowalnych i zaufanych centrów danych</w:t>
      </w:r>
    </w:p>
    <w:p>
      <w:pPr>
        <w:pStyle w:val="Normal"/>
        <w:spacing w:before="0" w:after="240"/>
        <w:jc w:val="both"/>
        <w:rPr>
          <w:lang w:val="pl-PL"/>
        </w:rPr>
      </w:pPr>
      <w:r>
        <w:rPr>
          <w:lang w:val="pl-PL"/>
        </w:rPr>
        <w:t>Firewalle FortiGate 3500G zostały zaprojektowane z myślą o rosnącej skali i wydajności centrów danych, w których obciążenia związane ze sztuczną inteligencją, wzmożony ruch wschód-zachód  oraz wymagania związane z modelem zerowego zaufania zmieniają sposób działania infrastruktury. Bezpieczeństwo przestaje być punktem kontrolnym, a staje się fundamentem wydajności, skalowalności i zaufania.</w:t>
      </w:r>
    </w:p>
    <w:p>
      <w:pPr>
        <w:pStyle w:val="Normal"/>
        <w:spacing w:before="0" w:after="240"/>
        <w:jc w:val="both"/>
        <w:rPr>
          <w:lang w:val="pl-PL"/>
        </w:rPr>
      </w:pPr>
      <w:r>
        <w:rPr>
          <w:lang w:val="pl-PL"/>
        </w:rPr>
        <w:t>Zaprojektowane pod kątem tej zmiany urządzenia FortiGate 3500G charakteryzują się interfejsami 400 GbE, zaawansowaną akceleracją sprzętową z wykorzystaniem układów ASIC oraz znaczącym wzrostem wydajności, co pozwala zabezpieczać środowiska o dużej gęstości bez tworzenia wąskich gardeł czy też przebudowy architektury. Takie podejście rozwiązuje także istotny problem rynkowy: zaufanie do samej infrastruktury bezpieczeństwa. Dzięki walidacji na poziomie sprzętu, wymuszeniu bezpiecznego firmware’u oraz przejrzystości działania systemu, przedsiębiorstwa mogą przejść od domniemanego zaufania do zaufania zweryfikowanego.</w:t>
      </w:r>
    </w:p>
    <w:p>
      <w:pPr>
        <w:pStyle w:val="Normal"/>
        <w:spacing w:before="0" w:after="240"/>
        <w:jc w:val="both"/>
        <w:rPr>
          <w:lang w:val="pl-PL"/>
        </w:rPr>
      </w:pPr>
      <w:r>
        <w:rPr>
          <w:lang w:val="pl-PL"/>
        </w:rPr>
        <w:t>Ścisła integracja mechanizmów ochronnych z operacjami działów SOC oraz zachowanie znanych rozmiarów urządzeń w firewallach FortiGate 3500G zapewnia organizacjom skalowanie infrastruktury krytycznej, upraszczanie operacji oraz bezpieczne wdrażanie wysokowydajnych zabezpieczeń.</w:t>
      </w:r>
    </w:p>
    <w:p>
      <w:pPr>
        <w:pStyle w:val="Normal"/>
        <w:jc w:val="both"/>
        <w:rPr>
          <w:b/>
          <w:bCs/>
          <w:lang w:val="pl-PL"/>
        </w:rPr>
      </w:pPr>
      <w:r>
        <w:rPr>
          <w:b/>
          <w:bCs/>
          <w:lang w:val="pl-PL"/>
        </w:rPr>
        <w:t>FortiGate 400G: modernizacja brzegu sieci bez zakłóceń</w:t>
      </w:r>
    </w:p>
    <w:p>
      <w:pPr>
        <w:pStyle w:val="Normal"/>
        <w:spacing w:before="0" w:after="240"/>
        <w:jc w:val="both"/>
        <w:rPr>
          <w:lang w:val="pl-PL"/>
        </w:rPr>
      </w:pPr>
      <w:r>
        <w:rPr>
          <w:lang w:val="pl-PL"/>
        </w:rPr>
        <w:t>Rozszerzając te możliwości na brzeg sieci przedsiębiorstwa, seria FortiGate 400G unowocześnia segment sieciowy zapór klasy średniej, wprowadzając wydajność serii G, architekturę oraz spójność działania w środowiskach rozproszonych.</w:t>
      </w:r>
    </w:p>
    <w:p>
      <w:pPr>
        <w:pStyle w:val="Normal"/>
        <w:spacing w:before="0" w:after="240"/>
        <w:jc w:val="both"/>
        <w:rPr>
          <w:lang w:val="pl-PL"/>
        </w:rPr>
      </w:pPr>
      <w:r>
        <w:rPr>
          <w:lang w:val="pl-PL"/>
        </w:rPr>
        <w:t xml:space="preserve">W sytuacji, gdy aplikacje działają równolegle w centrach danych, chmurze i na brzegu sieci, a ilość ruchu szyfrowanego oraz ruchu wschód-zachód ciągle wzrasta, wiele starszych modeli zapór sieciowych ma trudności w utrzymaniu wydajności z włączonymi zaawansowanymi funkcjami bezpieczeństwa. Sytuacja ta wymusza stosowanie kompromisów pomiędzy poziomem ochrony a efektywnością. FortiGate 400G eliminuje ten problem dzięki spójnej wydajności wspomaganej akceleracją sprzętową, zintegrowaną wiedzą o zagrożeniach, platformie zaprojektowanej do obsługi ruchu o dużym zagęszczeniu oraz zabezpieczeniach opartych na segmentacji bez zwiększania złożoności. </w:t>
      </w:r>
    </w:p>
    <w:p>
      <w:pPr>
        <w:pStyle w:val="Normal"/>
        <w:spacing w:before="0" w:after="240"/>
        <w:jc w:val="both"/>
        <w:rPr>
          <w:lang w:val="pl-PL"/>
        </w:rPr>
      </w:pPr>
      <w:r>
        <w:rPr>
          <w:lang w:val="pl-PL"/>
        </w:rPr>
        <w:t>Uproszczona ścieżka migracji z wdrożonych już w infrastrukturze firewalli FortiGate oraz spójne interfejsy w całym portfolio umożliwiają organizacjom modernizację brzegu sieci z wykorzystaniem urządzeń FortiGate 400G zapewniając standaryzację działalności operacyjnej oraz skalowanie mechanizmów zabezpieczeń przy przewidywalnej wydajności i minimalnych zakłóceniach.</w:t>
      </w:r>
    </w:p>
    <w:p>
      <w:pPr>
        <w:pStyle w:val="Normal"/>
        <w:spacing w:before="0" w:after="240"/>
        <w:rPr>
          <w:lang w:val="pl-PL"/>
        </w:rPr>
      </w:pPr>
      <w:r>
        <w:rPr>
          <w:b/>
          <w:bCs/>
          <w:lang w:val="pl-PL"/>
        </w:rPr>
        <w:t>Parametry wydajnościowe firewalli FortiGate 3500G</w:t>
      </w:r>
    </w:p>
    <w:tbl>
      <w:tblPr>
        <w:tblStyle w:val="Tabela-Siatka"/>
        <w:tblW w:w="5000" w:type="pct"/>
        <w:jc w:val="start"/>
        <w:tblInd w:w="-8" w:type="dxa"/>
        <w:tblLayout w:type="fixed"/>
        <w:tblCellMar>
          <w:top w:w="0" w:type="dxa"/>
          <w:start w:w="108" w:type="dxa"/>
          <w:bottom w:w="0" w:type="dxa"/>
          <w:end w:w="108" w:type="dxa"/>
        </w:tblCellMar>
        <w:tblLook w:firstRow="1" w:noVBand="1" w:lastRow="0" w:firstColumn="1" w:lastColumn="0" w:noHBand="0" w:val="04a0"/>
      </w:tblPr>
      <w:tblGrid>
        <w:gridCol w:w="1860"/>
        <w:gridCol w:w="1013"/>
        <w:gridCol w:w="1411"/>
        <w:gridCol w:w="1082"/>
        <w:gridCol w:w="935"/>
        <w:gridCol w:w="1075"/>
        <w:gridCol w:w="976"/>
        <w:gridCol w:w="1008"/>
      </w:tblGrid>
      <w:tr>
        <w:trPr>
          <w:trHeight w:val="746" w:hRule="atLeast"/>
        </w:trPr>
        <w:tc>
          <w:tcPr>
            <w:tcW w:w="1860"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Specyfikacja</w:t>
            </w:r>
          </w:p>
        </w:tc>
        <w:tc>
          <w:tcPr>
            <w:tcW w:w="1013"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FortiGate </w:t>
              <w:br/>
              <w:t>3500G</w:t>
            </w:r>
          </w:p>
        </w:tc>
        <w:tc>
          <w:tcPr>
            <w:tcW w:w="1411"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Współczynnik wydajności procesów ochronnych</w:t>
            </w:r>
            <w:r>
              <w:rPr>
                <w:rFonts w:eastAsia="Times New Roman"/>
                <w:color w:val="FFFFFF"/>
                <w:sz w:val="18"/>
                <w:szCs w:val="18"/>
                <w:lang w:val="pl-PL" w:eastAsia="ja-JP" w:bidi="ar-SA"/>
              </w:rPr>
              <w:t> </w:t>
            </w:r>
          </w:p>
        </w:tc>
        <w:tc>
          <w:tcPr>
            <w:tcW w:w="1082"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Średnia rozwiązań konkuren-cyjnych</w:t>
            </w:r>
          </w:p>
        </w:tc>
        <w:tc>
          <w:tcPr>
            <w:tcW w:w="935"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PAN </w:t>
              <w:br/>
              <w:t>PA-5540</w:t>
            </w:r>
          </w:p>
        </w:tc>
        <w:tc>
          <w:tcPr>
            <w:tcW w:w="1075"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Cisco</w:t>
              <w:br/>
            </w:r>
            <w:r>
              <w:rPr>
                <w:b/>
                <w:bCs/>
                <w:color w:themeColor="background1" w:val="FFFFFF"/>
                <w:sz w:val="18"/>
                <w:szCs w:val="18"/>
                <w:lang w:val="pl-PL" w:eastAsia="ja-JP" w:bidi="ar-SA"/>
              </w:rPr>
              <w:t>Firepower</w:t>
              <w:br/>
              <w:t>4125</w:t>
            </w:r>
          </w:p>
        </w:tc>
        <w:tc>
          <w:tcPr>
            <w:tcW w:w="976"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Check</w:t>
              <w:br/>
            </w:r>
            <w:r>
              <w:rPr>
                <w:b/>
                <w:bCs/>
                <w:color w:themeColor="background1" w:val="FFFFFF"/>
                <w:sz w:val="18"/>
                <w:szCs w:val="18"/>
                <w:lang w:val="pl-PL" w:eastAsia="ja-JP" w:bidi="ar-SA"/>
              </w:rPr>
              <w:t>Point</w:t>
              <w:br/>
              <w:t>29100</w:t>
            </w:r>
          </w:p>
        </w:tc>
        <w:tc>
          <w:tcPr>
            <w:tcW w:w="1008"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Juniper</w:t>
              <w:br/>
            </w:r>
            <w:r>
              <w:rPr>
                <w:b/>
                <w:bCs/>
                <w:color w:themeColor="background1" w:val="FFFFFF"/>
                <w:sz w:val="18"/>
                <w:szCs w:val="18"/>
                <w:lang w:val="pl-PL" w:eastAsia="ja-JP" w:bidi="ar-SA"/>
              </w:rPr>
              <w:t>SRX 4300</w:t>
            </w:r>
          </w:p>
        </w:tc>
      </w:tr>
      <w:tr>
        <w:trPr>
          <w:trHeight w:val="242" w:hRule="atLeast"/>
        </w:trPr>
        <w:tc>
          <w:tcPr>
            <w:tcW w:w="1860"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18"/>
                <w:szCs w:val="18"/>
                <w:lang w:val="pl-PL"/>
              </w:rPr>
            </w:pPr>
            <w:r>
              <w:rPr>
                <w:rFonts w:eastAsia="Times New Roman"/>
                <w:sz w:val="18"/>
                <w:szCs w:val="18"/>
                <w:lang w:val="pl-PL" w:eastAsia="ja-JP" w:bidi="ar-SA"/>
              </w:rPr>
              <w:t>Przepustowość firewalla (Gb/s)</w:t>
            </w:r>
          </w:p>
        </w:tc>
        <w:tc>
          <w:tcPr>
            <w:tcW w:w="1013"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595</w:t>
            </w:r>
          </w:p>
        </w:tc>
        <w:tc>
          <w:tcPr>
            <w:tcW w:w="1411"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sz w:val="20"/>
                <w:szCs w:val="20"/>
                <w:lang w:val="pl-PL"/>
              </w:rPr>
            </w:pPr>
            <w:r>
              <w:rPr>
                <w:b/>
                <w:bCs/>
                <w:color w:themeColor="background1" w:val="FFFFFF"/>
                <w:kern w:val="2"/>
                <w:sz w:val="20"/>
                <w:szCs w:val="20"/>
                <w:lang w:val="pl-PL" w:eastAsia="ja-JP" w:bidi="ar-SA"/>
              </w:rPr>
              <w:t>3,4x</w:t>
            </w:r>
          </w:p>
        </w:tc>
        <w:tc>
          <w:tcPr>
            <w:tcW w:w="1082"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173,3</w:t>
            </w:r>
          </w:p>
        </w:tc>
        <w:tc>
          <w:tcPr>
            <w:tcW w:w="93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150</w:t>
            </w:r>
          </w:p>
        </w:tc>
        <w:tc>
          <w:tcPr>
            <w:tcW w:w="107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80</w:t>
            </w:r>
          </w:p>
        </w:tc>
        <w:tc>
          <w:tcPr>
            <w:tcW w:w="976"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365</w:t>
            </w:r>
          </w:p>
        </w:tc>
        <w:tc>
          <w:tcPr>
            <w:tcW w:w="1008"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98</w:t>
            </w:r>
          </w:p>
        </w:tc>
      </w:tr>
      <w:tr>
        <w:trPr>
          <w:trHeight w:val="225" w:hRule="atLeast"/>
        </w:trPr>
        <w:tc>
          <w:tcPr>
            <w:tcW w:w="1860"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18"/>
                <w:szCs w:val="18"/>
                <w:lang w:val="pl-PL"/>
              </w:rPr>
            </w:pPr>
            <w:r>
              <w:rPr>
                <w:color w:val="000000"/>
                <w:kern w:val="2"/>
                <w:sz w:val="18"/>
                <w:szCs w:val="18"/>
                <w:lang w:val="pl-PL" w:eastAsia="ja-JP" w:bidi="ar-SA"/>
              </w:rPr>
              <w:t>Przepustowość IPsec VPN (Gb/s)</w:t>
            </w:r>
          </w:p>
        </w:tc>
        <w:tc>
          <w:tcPr>
            <w:tcW w:w="1013"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163</w:t>
            </w:r>
          </w:p>
        </w:tc>
        <w:tc>
          <w:tcPr>
            <w:tcW w:w="1411"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sz w:val="20"/>
                <w:szCs w:val="20"/>
                <w:lang w:val="pl-PL"/>
              </w:rPr>
            </w:pPr>
            <w:r>
              <w:rPr>
                <w:b/>
                <w:bCs/>
                <w:color w:themeColor="background1" w:val="FFFFFF"/>
                <w:kern w:val="2"/>
                <w:sz w:val="20"/>
                <w:szCs w:val="20"/>
                <w:lang w:val="pl-PL" w:eastAsia="ja-JP" w:bidi="ar-SA"/>
              </w:rPr>
              <w:t>2,2x</w:t>
            </w:r>
          </w:p>
        </w:tc>
        <w:tc>
          <w:tcPr>
            <w:tcW w:w="1082"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74</w:t>
            </w:r>
          </w:p>
        </w:tc>
        <w:tc>
          <w:tcPr>
            <w:tcW w:w="93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80</w:t>
            </w:r>
          </w:p>
        </w:tc>
        <w:tc>
          <w:tcPr>
            <w:tcW w:w="107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19</w:t>
            </w:r>
          </w:p>
        </w:tc>
        <w:tc>
          <w:tcPr>
            <w:tcW w:w="976"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103</w:t>
            </w:r>
          </w:p>
        </w:tc>
        <w:tc>
          <w:tcPr>
            <w:tcW w:w="1008"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94</w:t>
            </w:r>
          </w:p>
        </w:tc>
      </w:tr>
      <w:tr>
        <w:trPr>
          <w:trHeight w:val="467" w:hRule="atLeast"/>
        </w:trPr>
        <w:tc>
          <w:tcPr>
            <w:tcW w:w="1860"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18"/>
                <w:szCs w:val="18"/>
                <w:lang w:val="pl-PL"/>
              </w:rPr>
            </w:pPr>
            <w:r>
              <w:rPr>
                <w:rFonts w:eastAsia="Times New Roman"/>
                <w:sz w:val="18"/>
                <w:szCs w:val="18"/>
                <w:lang w:val="pl-PL" w:eastAsia="ja-JP" w:bidi="ar-SA"/>
              </w:rPr>
              <w:t>Ochrona przed zagrożeniami</w:t>
            </w:r>
            <w:r>
              <w:rPr>
                <w:color w:val="000000"/>
                <w:kern w:val="2"/>
                <w:sz w:val="18"/>
                <w:szCs w:val="18"/>
                <w:lang w:val="pl-PL" w:eastAsia="ja-JP" w:bidi="ar-SA"/>
              </w:rPr>
              <w:t xml:space="preserve"> (Gb/s)</w:t>
            </w:r>
          </w:p>
        </w:tc>
        <w:tc>
          <w:tcPr>
            <w:tcW w:w="1013"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105</w:t>
            </w:r>
          </w:p>
        </w:tc>
        <w:tc>
          <w:tcPr>
            <w:tcW w:w="1411"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sz w:val="20"/>
                <w:szCs w:val="20"/>
                <w:lang w:val="pl-PL"/>
              </w:rPr>
            </w:pPr>
            <w:r>
              <w:rPr>
                <w:b/>
                <w:bCs/>
                <w:color w:themeColor="background1" w:val="FFFFFF"/>
                <w:kern w:val="2"/>
                <w:sz w:val="20"/>
                <w:szCs w:val="20"/>
                <w:lang w:val="pl-PL" w:eastAsia="ja-JP" w:bidi="ar-SA"/>
              </w:rPr>
              <w:t>1,4x</w:t>
            </w:r>
          </w:p>
        </w:tc>
        <w:tc>
          <w:tcPr>
            <w:tcW w:w="1082"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75</w:t>
            </w:r>
          </w:p>
        </w:tc>
        <w:tc>
          <w:tcPr>
            <w:tcW w:w="93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90</w:t>
            </w:r>
          </w:p>
        </w:tc>
        <w:tc>
          <w:tcPr>
            <w:tcW w:w="107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sz w:val="20"/>
                <w:szCs w:val="20"/>
                <w:lang w:val="pl-PL"/>
              </w:rPr>
            </w:pPr>
            <w:r>
              <w:rPr>
                <w:sz w:val="20"/>
                <w:szCs w:val="20"/>
                <w:lang w:val="pl-PL" w:eastAsia="ja-JP" w:bidi="ar-SA"/>
              </w:rPr>
              <w:t>n.d.</w:t>
            </w:r>
          </w:p>
        </w:tc>
        <w:tc>
          <w:tcPr>
            <w:tcW w:w="976"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60</w:t>
            </w:r>
          </w:p>
        </w:tc>
        <w:tc>
          <w:tcPr>
            <w:tcW w:w="1008"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sz w:val="20"/>
                <w:szCs w:val="20"/>
                <w:lang w:val="pl-PL" w:eastAsia="ja-JP" w:bidi="ar-SA"/>
              </w:rPr>
              <w:t>n.d.</w:t>
            </w:r>
          </w:p>
        </w:tc>
      </w:tr>
      <w:tr>
        <w:trPr>
          <w:trHeight w:val="225" w:hRule="atLeast"/>
        </w:trPr>
        <w:tc>
          <w:tcPr>
            <w:tcW w:w="1860"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18"/>
                <w:szCs w:val="18"/>
                <w:lang w:val="pl-PL"/>
              </w:rPr>
            </w:pPr>
            <w:r>
              <w:rPr>
                <w:rFonts w:eastAsia="Times New Roman"/>
                <w:sz w:val="18"/>
                <w:szCs w:val="18"/>
                <w:lang w:val="pl-PL" w:eastAsia="ja-JP" w:bidi="ar-SA"/>
              </w:rPr>
              <w:t>Liczba równoległych sesji</w:t>
            </w:r>
          </w:p>
        </w:tc>
        <w:tc>
          <w:tcPr>
            <w:tcW w:w="1013"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179 mln</w:t>
            </w:r>
          </w:p>
        </w:tc>
        <w:tc>
          <w:tcPr>
            <w:tcW w:w="1411"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sz w:val="20"/>
                <w:szCs w:val="20"/>
                <w:lang w:val="pl-PL"/>
              </w:rPr>
            </w:pPr>
            <w:r>
              <w:rPr>
                <w:b/>
                <w:bCs/>
                <w:color w:themeColor="background1" w:val="FFFFFF"/>
                <w:kern w:val="2"/>
                <w:sz w:val="20"/>
                <w:szCs w:val="20"/>
                <w:lang w:val="pl-PL" w:eastAsia="ja-JP" w:bidi="ar-SA"/>
              </w:rPr>
              <w:t>6,9x</w:t>
            </w:r>
          </w:p>
        </w:tc>
        <w:tc>
          <w:tcPr>
            <w:tcW w:w="1082"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26 mln</w:t>
            </w:r>
          </w:p>
        </w:tc>
        <w:tc>
          <w:tcPr>
            <w:tcW w:w="93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39 mln</w:t>
            </w:r>
          </w:p>
        </w:tc>
        <w:tc>
          <w:tcPr>
            <w:tcW w:w="107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sz w:val="20"/>
                <w:szCs w:val="20"/>
                <w:lang w:val="pl-PL"/>
              </w:rPr>
            </w:pPr>
            <w:r>
              <w:rPr>
                <w:sz w:val="20"/>
                <w:szCs w:val="20"/>
                <w:lang w:val="pl-PL" w:eastAsia="ja-JP" w:bidi="ar-SA"/>
              </w:rPr>
              <w:t>25 mln</w:t>
            </w:r>
          </w:p>
        </w:tc>
        <w:tc>
          <w:tcPr>
            <w:tcW w:w="976"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30 mln</w:t>
            </w:r>
          </w:p>
        </w:tc>
        <w:tc>
          <w:tcPr>
            <w:tcW w:w="1008"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10 mln</w:t>
            </w:r>
          </w:p>
        </w:tc>
      </w:tr>
      <w:tr>
        <w:trPr>
          <w:trHeight w:val="709" w:hRule="atLeast"/>
        </w:trPr>
        <w:tc>
          <w:tcPr>
            <w:tcW w:w="1860"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Pobór energii</w:t>
            </w:r>
          </w:p>
        </w:tc>
        <w:tc>
          <w:tcPr>
            <w:tcW w:w="1013"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FortiGate </w:t>
              <w:br/>
              <w:t>3500G</w:t>
            </w:r>
          </w:p>
        </w:tc>
        <w:tc>
          <w:tcPr>
            <w:tcW w:w="1411"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Efektywność</w:t>
              <w:br/>
              <w:t>energetyczna</w:t>
            </w:r>
          </w:p>
        </w:tc>
        <w:tc>
          <w:tcPr>
            <w:tcW w:w="1082"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Średnia rozwiązań konkuren-cyjnych</w:t>
            </w:r>
          </w:p>
        </w:tc>
        <w:tc>
          <w:tcPr>
            <w:tcW w:w="935"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PAN </w:t>
              <w:br/>
              <w:t>PA-5540</w:t>
            </w:r>
          </w:p>
        </w:tc>
        <w:tc>
          <w:tcPr>
            <w:tcW w:w="1075"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Cisco</w:t>
              <w:br/>
            </w:r>
            <w:r>
              <w:rPr>
                <w:b/>
                <w:bCs/>
                <w:color w:themeColor="background1" w:val="FFFFFF"/>
                <w:sz w:val="18"/>
                <w:szCs w:val="18"/>
                <w:lang w:val="pl-PL" w:eastAsia="ja-JP" w:bidi="ar-SA"/>
              </w:rPr>
              <w:t>Firepower</w:t>
              <w:br/>
              <w:t>4125</w:t>
            </w:r>
          </w:p>
        </w:tc>
        <w:tc>
          <w:tcPr>
            <w:tcW w:w="976"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Check</w:t>
              <w:br/>
            </w:r>
            <w:r>
              <w:rPr>
                <w:b/>
                <w:bCs/>
                <w:color w:themeColor="background1" w:val="FFFFFF"/>
                <w:sz w:val="18"/>
                <w:szCs w:val="18"/>
                <w:lang w:val="pl-PL" w:eastAsia="ja-JP" w:bidi="ar-SA"/>
              </w:rPr>
              <w:t>Point</w:t>
              <w:br/>
              <w:t>29100</w:t>
            </w:r>
          </w:p>
        </w:tc>
        <w:tc>
          <w:tcPr>
            <w:tcW w:w="1008" w:type="dxa"/>
            <w:tcBorders>
              <w:top w:val="single" w:sz="6" w:space="0" w:color="000000"/>
              <w:start w:val="single" w:sz="6" w:space="0" w:color="000000"/>
              <w:bottom w:val="single" w:sz="6" w:space="0" w:color="000000"/>
              <w:end w:val="single" w:sz="6" w:space="0" w:color="000000"/>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Juniper</w:t>
              <w:br/>
            </w:r>
            <w:r>
              <w:rPr>
                <w:b/>
                <w:bCs/>
                <w:color w:themeColor="background1" w:val="FFFFFF"/>
                <w:sz w:val="18"/>
                <w:szCs w:val="18"/>
                <w:lang w:val="pl-PL" w:eastAsia="ja-JP" w:bidi="ar-SA"/>
              </w:rPr>
              <w:t>SRX 4300</w:t>
            </w:r>
          </w:p>
        </w:tc>
      </w:tr>
      <w:tr>
        <w:trPr>
          <w:trHeight w:val="467" w:hRule="atLeast"/>
        </w:trPr>
        <w:tc>
          <w:tcPr>
            <w:tcW w:w="1860"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18"/>
                <w:szCs w:val="18"/>
                <w:lang w:val="pl-PL"/>
              </w:rPr>
            </w:pPr>
            <w:r>
              <w:rPr>
                <w:rFonts w:eastAsia="Times New Roman"/>
                <w:sz w:val="18"/>
                <w:szCs w:val="18"/>
                <w:lang w:val="pl-PL" w:eastAsia="ja-JP" w:bidi="ar-SA"/>
              </w:rPr>
              <w:t xml:space="preserve">Przepustowość firewalla </w:t>
              <w:br/>
              <w:t>(W na Gb/s)</w:t>
            </w:r>
          </w:p>
        </w:tc>
        <w:tc>
          <w:tcPr>
            <w:tcW w:w="1013"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1,6</w:t>
            </w:r>
          </w:p>
        </w:tc>
        <w:tc>
          <w:tcPr>
            <w:tcW w:w="1411"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kern w:val="2"/>
                <w:sz w:val="20"/>
                <w:szCs w:val="20"/>
                <w:lang w:val="pl-PL"/>
              </w:rPr>
            </w:pPr>
            <w:r>
              <w:rPr>
                <w:b/>
                <w:bCs/>
                <w:color w:themeColor="background1" w:val="FFFFFF"/>
                <w:kern w:val="2"/>
                <w:sz w:val="20"/>
                <w:szCs w:val="20"/>
                <w:lang w:val="pl-PL" w:eastAsia="ja-JP" w:bidi="ar-SA"/>
              </w:rPr>
              <w:t>6,1x</w:t>
            </w:r>
          </w:p>
        </w:tc>
        <w:tc>
          <w:tcPr>
            <w:tcW w:w="1082"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10</w:t>
            </w:r>
          </w:p>
        </w:tc>
        <w:tc>
          <w:tcPr>
            <w:tcW w:w="93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15,4</w:t>
            </w:r>
          </w:p>
        </w:tc>
        <w:tc>
          <w:tcPr>
            <w:tcW w:w="107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13,8</w:t>
            </w:r>
          </w:p>
        </w:tc>
        <w:tc>
          <w:tcPr>
            <w:tcW w:w="976"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2,4</w:t>
            </w:r>
          </w:p>
        </w:tc>
        <w:tc>
          <w:tcPr>
            <w:tcW w:w="1008"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8,7</w:t>
            </w:r>
          </w:p>
        </w:tc>
      </w:tr>
      <w:tr>
        <w:trPr>
          <w:trHeight w:val="467" w:hRule="atLeast"/>
        </w:trPr>
        <w:tc>
          <w:tcPr>
            <w:tcW w:w="1860"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18"/>
                <w:szCs w:val="18"/>
                <w:lang w:val="pl-PL"/>
              </w:rPr>
            </w:pPr>
            <w:r>
              <w:rPr>
                <w:rFonts w:eastAsia="Times New Roman"/>
                <w:sz w:val="18"/>
                <w:szCs w:val="18"/>
                <w:lang w:val="pl-PL" w:eastAsia="ja-JP" w:bidi="ar-SA"/>
              </w:rPr>
              <w:t xml:space="preserve">Przepustowość IPsec VPN </w:t>
              <w:br/>
              <w:t>(W na Gb/s)</w:t>
            </w:r>
          </w:p>
        </w:tc>
        <w:tc>
          <w:tcPr>
            <w:tcW w:w="1013"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6</w:t>
            </w:r>
          </w:p>
        </w:tc>
        <w:tc>
          <w:tcPr>
            <w:tcW w:w="1411" w:type="dxa"/>
            <w:tcBorders>
              <w:top w:val="single" w:sz="6" w:space="0" w:color="000000"/>
              <w:start w:val="single" w:sz="6" w:space="0" w:color="000000"/>
              <w:bottom w:val="single" w:sz="6" w:space="0" w:color="000000"/>
              <w:end w:val="single" w:sz="6" w:space="0" w:color="000000"/>
            </w:tcBorders>
            <w:shd w:color="auto" w:fill="C00000" w:val="clear"/>
            <w:vAlign w:val="center"/>
          </w:tcPr>
          <w:p>
            <w:pPr>
              <w:pStyle w:val="ListParagraph"/>
              <w:widowControl/>
              <w:spacing w:before="0" w:after="0"/>
              <w:ind w:start="0"/>
              <w:contextualSpacing/>
              <w:jc w:val="center"/>
              <w:rPr>
                <w:b/>
                <w:bCs/>
                <w:color w:themeColor="background1" w:val="FFFFFF"/>
                <w:kern w:val="2"/>
                <w:sz w:val="20"/>
                <w:szCs w:val="20"/>
                <w:lang w:val="pl-PL"/>
              </w:rPr>
            </w:pPr>
            <w:r>
              <w:rPr>
                <w:b/>
                <w:bCs/>
                <w:color w:themeColor="background1" w:val="FFFFFF"/>
                <w:kern w:val="2"/>
                <w:sz w:val="20"/>
                <w:szCs w:val="20"/>
                <w:lang w:val="pl-PL" w:eastAsia="ja-JP" w:bidi="ar-SA"/>
              </w:rPr>
              <w:t>4,4x</w:t>
            </w:r>
          </w:p>
        </w:tc>
        <w:tc>
          <w:tcPr>
            <w:tcW w:w="1082"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26</w:t>
            </w:r>
          </w:p>
        </w:tc>
        <w:tc>
          <w:tcPr>
            <w:tcW w:w="93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28,8</w:t>
            </w:r>
          </w:p>
        </w:tc>
        <w:tc>
          <w:tcPr>
            <w:tcW w:w="1075"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57,9</w:t>
            </w:r>
          </w:p>
        </w:tc>
        <w:tc>
          <w:tcPr>
            <w:tcW w:w="976"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8,3</w:t>
            </w:r>
          </w:p>
        </w:tc>
        <w:tc>
          <w:tcPr>
            <w:tcW w:w="1008" w:type="dxa"/>
            <w:tcBorders>
              <w:top w:val="single" w:sz="6" w:space="0" w:color="000000"/>
              <w:start w:val="single" w:sz="6" w:space="0" w:color="000000"/>
              <w:bottom w:val="single" w:sz="6" w:space="0" w:color="000000"/>
              <w:end w:val="single" w:sz="6" w:space="0" w:color="000000"/>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9</w:t>
            </w:r>
          </w:p>
        </w:tc>
      </w:tr>
    </w:tbl>
    <w:p>
      <w:pPr>
        <w:pStyle w:val="Normal"/>
        <w:rPr>
          <w:lang w:val="pl-PL"/>
        </w:rPr>
      </w:pPr>
      <w:r>
        <w:rPr>
          <w:lang w:val="pl-PL"/>
        </w:rPr>
      </w:r>
    </w:p>
    <w:p>
      <w:pPr>
        <w:pStyle w:val="Normal"/>
        <w:spacing w:before="0" w:after="240"/>
        <w:rPr>
          <w:lang w:val="pl-PL"/>
        </w:rPr>
      </w:pPr>
      <w:r>
        <w:rPr>
          <w:b/>
          <w:bCs/>
          <w:lang w:val="pl-PL"/>
        </w:rPr>
        <w:t>Parametry wydajnościowe firewalli FortiGate 400G</w:t>
      </w:r>
    </w:p>
    <w:tbl>
      <w:tblPr>
        <w:tblStyle w:val="Tabela-Siatka"/>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1857"/>
        <w:gridCol w:w="1017"/>
        <w:gridCol w:w="1415"/>
        <w:gridCol w:w="1086"/>
        <w:gridCol w:w="945"/>
        <w:gridCol w:w="1077"/>
        <w:gridCol w:w="1019"/>
        <w:gridCol w:w="944"/>
      </w:tblGrid>
      <w:tr>
        <w:trPr>
          <w:trHeight w:val="746" w:hRule="atLeast"/>
        </w:trPr>
        <w:tc>
          <w:tcPr>
            <w:tcW w:w="1857"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Specyfikacja</w:t>
            </w:r>
          </w:p>
        </w:tc>
        <w:tc>
          <w:tcPr>
            <w:tcW w:w="1017" w:type="dxa"/>
            <w:tcBorders/>
            <w:shd w:color="auto" w:fill="C00000"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FortiGate </w:t>
              <w:br/>
              <w:t>400G</w:t>
            </w:r>
          </w:p>
        </w:tc>
        <w:tc>
          <w:tcPr>
            <w:tcW w:w="1415" w:type="dxa"/>
            <w:tcBorders/>
            <w:shd w:color="auto" w:fill="C00000"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Współczynnik wydajności procesów ochronnych</w:t>
            </w:r>
            <w:r>
              <w:rPr>
                <w:rFonts w:eastAsia="Times New Roman"/>
                <w:color w:val="FFFFFF"/>
                <w:sz w:val="18"/>
                <w:szCs w:val="18"/>
                <w:lang w:val="pl-PL" w:eastAsia="ja-JP" w:bidi="ar-SA"/>
              </w:rPr>
              <w:t> </w:t>
            </w:r>
          </w:p>
        </w:tc>
        <w:tc>
          <w:tcPr>
            <w:tcW w:w="1086"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Średnia rozwiązań konkuren-cyjnych</w:t>
            </w:r>
          </w:p>
        </w:tc>
        <w:tc>
          <w:tcPr>
            <w:tcW w:w="945"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PAN </w:t>
              <w:br/>
              <w:t>PA-3410</w:t>
            </w:r>
          </w:p>
        </w:tc>
        <w:tc>
          <w:tcPr>
            <w:tcW w:w="1077"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Cisco</w:t>
              <w:br/>
            </w:r>
            <w:r>
              <w:rPr>
                <w:b/>
                <w:bCs/>
                <w:color w:themeColor="background1" w:val="FFFFFF"/>
                <w:sz w:val="18"/>
                <w:szCs w:val="18"/>
                <w:lang w:val="pl-PL" w:eastAsia="ja-JP" w:bidi="ar-SA"/>
              </w:rPr>
              <w:t>Firepower</w:t>
              <w:br/>
              <w:t>3110</w:t>
            </w:r>
          </w:p>
        </w:tc>
        <w:tc>
          <w:tcPr>
            <w:tcW w:w="1019"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Check </w:t>
            </w:r>
            <w:r>
              <w:rPr>
                <w:b/>
                <w:bCs/>
                <w:color w:themeColor="background1" w:val="FFFFFF"/>
                <w:sz w:val="18"/>
                <w:szCs w:val="18"/>
                <w:lang w:val="pl-PL" w:eastAsia="ja-JP" w:bidi="ar-SA"/>
              </w:rPr>
              <w:t>Point</w:t>
              <w:br/>
              <w:t>Quantum</w:t>
              <w:br/>
              <w:t>9200</w:t>
            </w:r>
          </w:p>
        </w:tc>
        <w:tc>
          <w:tcPr>
            <w:tcW w:w="944"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Juniper</w:t>
              <w:br/>
            </w:r>
            <w:r>
              <w:rPr>
                <w:b/>
                <w:bCs/>
                <w:color w:themeColor="background1" w:val="FFFFFF"/>
                <w:sz w:val="18"/>
                <w:szCs w:val="18"/>
                <w:lang w:val="pl-PL" w:eastAsia="ja-JP" w:bidi="ar-SA"/>
              </w:rPr>
              <w:t>SRX 1600</w:t>
            </w:r>
          </w:p>
        </w:tc>
      </w:tr>
      <w:tr>
        <w:trPr>
          <w:trHeight w:val="242" w:hRule="atLeast"/>
        </w:trPr>
        <w:tc>
          <w:tcPr>
            <w:tcW w:w="1857" w:type="dxa"/>
            <w:tcBorders/>
            <w:vAlign w:val="center"/>
          </w:tcPr>
          <w:p>
            <w:pPr>
              <w:pStyle w:val="ListParagraph"/>
              <w:widowControl/>
              <w:spacing w:before="0" w:after="0"/>
              <w:ind w:start="0"/>
              <w:contextualSpacing/>
              <w:jc w:val="center"/>
              <w:rPr>
                <w:b/>
                <w:bCs/>
                <w:sz w:val="18"/>
                <w:szCs w:val="18"/>
                <w:lang w:val="pl-PL"/>
              </w:rPr>
            </w:pPr>
            <w:r>
              <w:rPr>
                <w:rFonts w:eastAsia="Times New Roman"/>
                <w:sz w:val="18"/>
                <w:szCs w:val="18"/>
                <w:lang w:val="pl-PL" w:eastAsia="ja-JP" w:bidi="ar-SA"/>
              </w:rPr>
              <w:t>Przepustowość firewalla (Gb/s)</w:t>
            </w:r>
          </w:p>
        </w:tc>
        <w:tc>
          <w:tcPr>
            <w:tcW w:w="1017"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164</w:t>
            </w:r>
          </w:p>
        </w:tc>
        <w:tc>
          <w:tcPr>
            <w:tcW w:w="1415" w:type="dxa"/>
            <w:tcBorders/>
            <w:shd w:color="auto" w:fill="C00000" w:val="clear"/>
            <w:vAlign w:val="center"/>
          </w:tcPr>
          <w:p>
            <w:pPr>
              <w:pStyle w:val="ListParagraph"/>
              <w:widowControl/>
              <w:spacing w:before="0" w:after="0"/>
              <w:ind w:start="0"/>
              <w:contextualSpacing/>
              <w:jc w:val="center"/>
              <w:rPr>
                <w:b/>
                <w:bCs/>
                <w:color w:themeColor="background1" w:val="FFFFFF"/>
                <w:sz w:val="20"/>
                <w:szCs w:val="20"/>
                <w:lang w:val="pl-PL"/>
              </w:rPr>
            </w:pPr>
            <w:r>
              <w:rPr>
                <w:b/>
                <w:bCs/>
                <w:color w:themeColor="background1" w:val="FFFFFF"/>
                <w:kern w:val="2"/>
                <w:sz w:val="20"/>
                <w:szCs w:val="20"/>
                <w:lang w:val="pl-PL" w:eastAsia="ja-JP" w:bidi="ar-SA"/>
              </w:rPr>
              <w:t>5.7x</w:t>
            </w:r>
          </w:p>
        </w:tc>
        <w:tc>
          <w:tcPr>
            <w:tcW w:w="1086"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29</w:t>
            </w:r>
          </w:p>
        </w:tc>
        <w:tc>
          <w:tcPr>
            <w:tcW w:w="945"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14</w:t>
            </w:r>
          </w:p>
        </w:tc>
        <w:tc>
          <w:tcPr>
            <w:tcW w:w="1077"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18</w:t>
            </w:r>
          </w:p>
        </w:tc>
        <w:tc>
          <w:tcPr>
            <w:tcW w:w="1019"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60</w:t>
            </w:r>
          </w:p>
        </w:tc>
        <w:tc>
          <w:tcPr>
            <w:tcW w:w="944"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24</w:t>
            </w:r>
          </w:p>
        </w:tc>
      </w:tr>
      <w:tr>
        <w:trPr>
          <w:trHeight w:val="225" w:hRule="atLeast"/>
        </w:trPr>
        <w:tc>
          <w:tcPr>
            <w:tcW w:w="1857" w:type="dxa"/>
            <w:tcBorders/>
            <w:vAlign w:val="center"/>
          </w:tcPr>
          <w:p>
            <w:pPr>
              <w:pStyle w:val="ListParagraph"/>
              <w:widowControl/>
              <w:spacing w:before="0" w:after="0"/>
              <w:ind w:start="0"/>
              <w:contextualSpacing/>
              <w:jc w:val="center"/>
              <w:rPr>
                <w:b/>
                <w:bCs/>
                <w:sz w:val="18"/>
                <w:szCs w:val="18"/>
                <w:lang w:val="pl-PL"/>
              </w:rPr>
            </w:pPr>
            <w:r>
              <w:rPr>
                <w:color w:val="000000"/>
                <w:kern w:val="2"/>
                <w:sz w:val="18"/>
                <w:szCs w:val="18"/>
                <w:lang w:val="pl-PL" w:eastAsia="ja-JP" w:bidi="ar-SA"/>
              </w:rPr>
              <w:t>Przepustowość IPsec VPN (Gb/s)</w:t>
            </w:r>
          </w:p>
        </w:tc>
        <w:tc>
          <w:tcPr>
            <w:tcW w:w="1017"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55</w:t>
            </w:r>
          </w:p>
        </w:tc>
        <w:tc>
          <w:tcPr>
            <w:tcW w:w="1415" w:type="dxa"/>
            <w:tcBorders/>
            <w:shd w:color="auto" w:fill="C00000" w:val="clear"/>
            <w:vAlign w:val="center"/>
          </w:tcPr>
          <w:p>
            <w:pPr>
              <w:pStyle w:val="ListParagraph"/>
              <w:widowControl/>
              <w:spacing w:before="0" w:after="0"/>
              <w:ind w:start="0"/>
              <w:contextualSpacing/>
              <w:jc w:val="center"/>
              <w:rPr>
                <w:b/>
                <w:bCs/>
                <w:color w:themeColor="background1" w:val="FFFFFF"/>
                <w:sz w:val="20"/>
                <w:szCs w:val="20"/>
                <w:lang w:val="pl-PL"/>
              </w:rPr>
            </w:pPr>
            <w:r>
              <w:rPr>
                <w:b/>
                <w:bCs/>
                <w:color w:themeColor="background1" w:val="FFFFFF"/>
                <w:kern w:val="2"/>
                <w:sz w:val="20"/>
                <w:szCs w:val="20"/>
                <w:lang w:val="pl-PL" w:eastAsia="ja-JP" w:bidi="ar-SA"/>
              </w:rPr>
              <w:t>3.4x</w:t>
            </w:r>
          </w:p>
        </w:tc>
        <w:tc>
          <w:tcPr>
            <w:tcW w:w="1086"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16,1</w:t>
            </w:r>
          </w:p>
        </w:tc>
        <w:tc>
          <w:tcPr>
            <w:tcW w:w="945"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6,6</w:t>
            </w:r>
          </w:p>
        </w:tc>
        <w:tc>
          <w:tcPr>
            <w:tcW w:w="1077"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11</w:t>
            </w:r>
          </w:p>
        </w:tc>
        <w:tc>
          <w:tcPr>
            <w:tcW w:w="1019"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28,6</w:t>
            </w:r>
          </w:p>
        </w:tc>
        <w:tc>
          <w:tcPr>
            <w:tcW w:w="944"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18</w:t>
            </w:r>
          </w:p>
        </w:tc>
      </w:tr>
      <w:tr>
        <w:trPr>
          <w:trHeight w:val="467" w:hRule="atLeast"/>
        </w:trPr>
        <w:tc>
          <w:tcPr>
            <w:tcW w:w="1857" w:type="dxa"/>
            <w:tcBorders/>
            <w:vAlign w:val="center"/>
          </w:tcPr>
          <w:p>
            <w:pPr>
              <w:pStyle w:val="ListParagraph"/>
              <w:widowControl/>
              <w:spacing w:before="0" w:after="0"/>
              <w:ind w:start="0"/>
              <w:contextualSpacing/>
              <w:jc w:val="center"/>
              <w:rPr>
                <w:b/>
                <w:bCs/>
                <w:sz w:val="18"/>
                <w:szCs w:val="18"/>
                <w:lang w:val="pl-PL"/>
              </w:rPr>
            </w:pPr>
            <w:r>
              <w:rPr>
                <w:rFonts w:eastAsia="Times New Roman"/>
                <w:sz w:val="18"/>
                <w:szCs w:val="18"/>
                <w:lang w:val="pl-PL" w:eastAsia="ja-JP" w:bidi="ar-SA"/>
              </w:rPr>
              <w:t>Ochrona przed zagrożeniami</w:t>
            </w:r>
            <w:r>
              <w:rPr>
                <w:color w:val="000000"/>
                <w:kern w:val="2"/>
                <w:sz w:val="18"/>
                <w:szCs w:val="18"/>
                <w:lang w:val="pl-PL" w:eastAsia="ja-JP" w:bidi="ar-SA"/>
              </w:rPr>
              <w:t xml:space="preserve"> (Gb/s)</w:t>
            </w:r>
          </w:p>
        </w:tc>
        <w:tc>
          <w:tcPr>
            <w:tcW w:w="1017"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13</w:t>
            </w:r>
          </w:p>
        </w:tc>
        <w:tc>
          <w:tcPr>
            <w:tcW w:w="1415" w:type="dxa"/>
            <w:tcBorders/>
            <w:shd w:color="auto" w:fill="C00000" w:val="clear"/>
            <w:vAlign w:val="center"/>
          </w:tcPr>
          <w:p>
            <w:pPr>
              <w:pStyle w:val="ListParagraph"/>
              <w:widowControl/>
              <w:spacing w:before="0" w:after="0"/>
              <w:ind w:start="0"/>
              <w:contextualSpacing/>
              <w:jc w:val="center"/>
              <w:rPr>
                <w:b/>
                <w:bCs/>
                <w:color w:themeColor="background1" w:val="FFFFFF"/>
                <w:sz w:val="20"/>
                <w:szCs w:val="20"/>
                <w:lang w:val="pl-PL"/>
              </w:rPr>
            </w:pPr>
            <w:r>
              <w:rPr>
                <w:b/>
                <w:bCs/>
                <w:color w:themeColor="background1" w:val="FFFFFF"/>
                <w:kern w:val="2"/>
                <w:sz w:val="20"/>
                <w:szCs w:val="20"/>
                <w:lang w:val="pl-PL" w:eastAsia="ja-JP" w:bidi="ar-SA"/>
              </w:rPr>
              <w:t>1,7x</w:t>
            </w:r>
          </w:p>
        </w:tc>
        <w:tc>
          <w:tcPr>
            <w:tcW w:w="1086"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7,8</w:t>
            </w:r>
          </w:p>
        </w:tc>
        <w:tc>
          <w:tcPr>
            <w:tcW w:w="945"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7,5</w:t>
            </w:r>
          </w:p>
        </w:tc>
        <w:tc>
          <w:tcPr>
            <w:tcW w:w="1077"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n.d.</w:t>
            </w:r>
          </w:p>
        </w:tc>
        <w:tc>
          <w:tcPr>
            <w:tcW w:w="1019"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8.0</w:t>
            </w:r>
          </w:p>
        </w:tc>
        <w:tc>
          <w:tcPr>
            <w:tcW w:w="944"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n.d.</w:t>
            </w:r>
          </w:p>
        </w:tc>
      </w:tr>
      <w:tr>
        <w:trPr>
          <w:trHeight w:val="225" w:hRule="atLeast"/>
        </w:trPr>
        <w:tc>
          <w:tcPr>
            <w:tcW w:w="1857" w:type="dxa"/>
            <w:tcBorders/>
            <w:vAlign w:val="center"/>
          </w:tcPr>
          <w:p>
            <w:pPr>
              <w:pStyle w:val="ListParagraph"/>
              <w:widowControl/>
              <w:spacing w:before="0" w:after="0"/>
              <w:ind w:start="0"/>
              <w:contextualSpacing/>
              <w:jc w:val="center"/>
              <w:rPr>
                <w:b/>
                <w:bCs/>
                <w:sz w:val="18"/>
                <w:szCs w:val="18"/>
                <w:lang w:val="pl-PL"/>
              </w:rPr>
            </w:pPr>
            <w:r>
              <w:rPr>
                <w:rFonts w:eastAsia="Times New Roman"/>
                <w:sz w:val="18"/>
                <w:szCs w:val="18"/>
                <w:lang w:val="pl-PL" w:eastAsia="ja-JP" w:bidi="ar-SA"/>
              </w:rPr>
              <w:t>Liczba równoległych sesji</w:t>
            </w:r>
          </w:p>
        </w:tc>
        <w:tc>
          <w:tcPr>
            <w:tcW w:w="1017"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28 mln</w:t>
            </w:r>
          </w:p>
        </w:tc>
        <w:tc>
          <w:tcPr>
            <w:tcW w:w="1415" w:type="dxa"/>
            <w:tcBorders/>
            <w:shd w:color="auto" w:fill="C00000" w:val="clear"/>
            <w:vAlign w:val="center"/>
          </w:tcPr>
          <w:p>
            <w:pPr>
              <w:pStyle w:val="ListParagraph"/>
              <w:widowControl/>
              <w:spacing w:before="0" w:after="0"/>
              <w:ind w:start="0"/>
              <w:contextualSpacing/>
              <w:jc w:val="center"/>
              <w:rPr>
                <w:b/>
                <w:bCs/>
                <w:color w:themeColor="background1" w:val="FFFFFF"/>
                <w:sz w:val="20"/>
                <w:szCs w:val="20"/>
                <w:lang w:val="pl-PL"/>
              </w:rPr>
            </w:pPr>
            <w:r>
              <w:rPr>
                <w:b/>
                <w:bCs/>
                <w:color w:themeColor="background1" w:val="FFFFFF"/>
                <w:kern w:val="2"/>
                <w:sz w:val="20"/>
                <w:szCs w:val="20"/>
                <w:lang w:val="pl-PL" w:eastAsia="ja-JP" w:bidi="ar-SA"/>
              </w:rPr>
              <w:t>13,7x</w:t>
            </w:r>
          </w:p>
        </w:tc>
        <w:tc>
          <w:tcPr>
            <w:tcW w:w="1086"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2 mln</w:t>
            </w:r>
          </w:p>
        </w:tc>
        <w:tc>
          <w:tcPr>
            <w:tcW w:w="945"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1,4 mln</w:t>
            </w:r>
          </w:p>
        </w:tc>
        <w:tc>
          <w:tcPr>
            <w:tcW w:w="1077" w:type="dxa"/>
            <w:tcBorders/>
            <w:vAlign w:val="center"/>
          </w:tcPr>
          <w:p>
            <w:pPr>
              <w:pStyle w:val="ListParagraph"/>
              <w:widowControl/>
              <w:spacing w:before="0" w:after="0"/>
              <w:ind w:start="0"/>
              <w:contextualSpacing/>
              <w:jc w:val="center"/>
              <w:rPr>
                <w:sz w:val="20"/>
                <w:szCs w:val="20"/>
                <w:lang w:val="pl-PL"/>
              </w:rPr>
            </w:pPr>
            <w:r>
              <w:rPr>
                <w:sz w:val="20"/>
                <w:szCs w:val="20"/>
                <w:lang w:val="pl-PL" w:eastAsia="ja-JP" w:bidi="ar-SA"/>
              </w:rPr>
              <w:t>2 mln</w:t>
            </w:r>
          </w:p>
        </w:tc>
        <w:tc>
          <w:tcPr>
            <w:tcW w:w="1019"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2,75 mln</w:t>
            </w:r>
          </w:p>
        </w:tc>
        <w:tc>
          <w:tcPr>
            <w:tcW w:w="944" w:type="dxa"/>
            <w:tcBorders/>
            <w:vAlign w:val="center"/>
          </w:tcPr>
          <w:p>
            <w:pPr>
              <w:pStyle w:val="ListParagraph"/>
              <w:widowControl/>
              <w:spacing w:before="0" w:after="0"/>
              <w:ind w:start="0"/>
              <w:contextualSpacing/>
              <w:jc w:val="center"/>
              <w:rPr>
                <w:b/>
                <w:bCs/>
                <w:sz w:val="20"/>
                <w:szCs w:val="20"/>
                <w:lang w:val="pl-PL"/>
              </w:rPr>
            </w:pPr>
            <w:r>
              <w:rPr>
                <w:color w:val="000000"/>
                <w:kern w:val="2"/>
                <w:sz w:val="20"/>
                <w:szCs w:val="20"/>
                <w:lang w:val="pl-PL" w:eastAsia="ja-JP" w:bidi="ar-SA"/>
              </w:rPr>
              <w:t>2 mln</w:t>
            </w:r>
          </w:p>
        </w:tc>
      </w:tr>
      <w:tr>
        <w:trPr>
          <w:trHeight w:val="709" w:hRule="atLeast"/>
        </w:trPr>
        <w:tc>
          <w:tcPr>
            <w:tcW w:w="1857"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Pobór energii</w:t>
            </w:r>
          </w:p>
        </w:tc>
        <w:tc>
          <w:tcPr>
            <w:tcW w:w="1017" w:type="dxa"/>
            <w:tcBorders/>
            <w:shd w:color="auto" w:fill="C00000"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shd w:fill="C00000" w:val="clear"/>
                <w:lang w:val="pl-PL" w:eastAsia="ja-JP" w:bidi="ar-SA"/>
              </w:rPr>
              <w:t>FortiGate</w:t>
            </w:r>
            <w:r>
              <w:rPr>
                <w:b/>
                <w:bCs/>
                <w:color w:themeColor="background1" w:val="FFFFFF"/>
                <w:kern w:val="2"/>
                <w:sz w:val="18"/>
                <w:szCs w:val="18"/>
                <w:lang w:val="pl-PL" w:eastAsia="ja-JP" w:bidi="ar-SA"/>
              </w:rPr>
              <w:t xml:space="preserve"> </w:t>
              <w:br/>
              <w:t>400G</w:t>
            </w:r>
          </w:p>
        </w:tc>
        <w:tc>
          <w:tcPr>
            <w:tcW w:w="1415" w:type="dxa"/>
            <w:tcBorders/>
            <w:shd w:color="auto" w:fill="C00000"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Efektywność</w:t>
              <w:br/>
              <w:t>energetyczna</w:t>
            </w:r>
          </w:p>
        </w:tc>
        <w:tc>
          <w:tcPr>
            <w:tcW w:w="1086"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rFonts w:eastAsia="Times New Roman"/>
                <w:b/>
                <w:bCs/>
                <w:color w:val="FFFFFF"/>
                <w:sz w:val="18"/>
                <w:szCs w:val="18"/>
                <w:lang w:val="pl-PL" w:eastAsia="ja-JP" w:bidi="ar-SA"/>
              </w:rPr>
              <w:t>Średnia rozwiązań konkuren-cyjnych</w:t>
            </w:r>
          </w:p>
        </w:tc>
        <w:tc>
          <w:tcPr>
            <w:tcW w:w="945"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PAN </w:t>
              <w:br/>
              <w:t>PA-3410</w:t>
            </w:r>
          </w:p>
        </w:tc>
        <w:tc>
          <w:tcPr>
            <w:tcW w:w="1077"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Cisco</w:t>
              <w:br/>
            </w:r>
            <w:r>
              <w:rPr>
                <w:b/>
                <w:bCs/>
                <w:color w:themeColor="background1" w:val="FFFFFF"/>
                <w:sz w:val="18"/>
                <w:szCs w:val="18"/>
                <w:lang w:val="pl-PL" w:eastAsia="ja-JP" w:bidi="ar-SA"/>
              </w:rPr>
              <w:t>Firepower</w:t>
              <w:br/>
              <w:t>3110</w:t>
            </w:r>
          </w:p>
        </w:tc>
        <w:tc>
          <w:tcPr>
            <w:tcW w:w="1019"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 xml:space="preserve">Check </w:t>
            </w:r>
            <w:r>
              <w:rPr>
                <w:b/>
                <w:bCs/>
                <w:color w:themeColor="background1" w:val="FFFFFF"/>
                <w:sz w:val="18"/>
                <w:szCs w:val="18"/>
                <w:lang w:val="pl-PL" w:eastAsia="ja-JP" w:bidi="ar-SA"/>
              </w:rPr>
              <w:t>Point</w:t>
              <w:br/>
              <w:t>Quantum</w:t>
              <w:br/>
              <w:t>9200</w:t>
            </w:r>
          </w:p>
        </w:tc>
        <w:tc>
          <w:tcPr>
            <w:tcW w:w="944" w:type="dxa"/>
            <w:tcBorders/>
            <w:shd w:color="auto" w:fill="425772" w:val="clear"/>
            <w:vAlign w:val="center"/>
          </w:tcPr>
          <w:p>
            <w:pPr>
              <w:pStyle w:val="ListParagraph"/>
              <w:widowControl/>
              <w:spacing w:before="0" w:after="0"/>
              <w:ind w:start="0"/>
              <w:contextualSpacing/>
              <w:jc w:val="center"/>
              <w:rPr>
                <w:b/>
                <w:bCs/>
                <w:color w:themeColor="background1" w:val="FFFFFF"/>
                <w:sz w:val="18"/>
                <w:szCs w:val="18"/>
                <w:lang w:val="pl-PL"/>
              </w:rPr>
            </w:pPr>
            <w:r>
              <w:rPr>
                <w:b/>
                <w:bCs/>
                <w:color w:themeColor="background1" w:val="FFFFFF"/>
                <w:kern w:val="2"/>
                <w:sz w:val="18"/>
                <w:szCs w:val="18"/>
                <w:lang w:val="pl-PL" w:eastAsia="ja-JP" w:bidi="ar-SA"/>
              </w:rPr>
              <w:t>Juniper</w:t>
              <w:br/>
            </w:r>
            <w:r>
              <w:rPr>
                <w:b/>
                <w:bCs/>
                <w:color w:themeColor="background1" w:val="FFFFFF"/>
                <w:sz w:val="18"/>
                <w:szCs w:val="18"/>
                <w:lang w:val="pl-PL" w:eastAsia="ja-JP" w:bidi="ar-SA"/>
              </w:rPr>
              <w:t>SRX 1600</w:t>
            </w:r>
          </w:p>
        </w:tc>
      </w:tr>
      <w:tr>
        <w:trPr>
          <w:trHeight w:val="467" w:hRule="atLeast"/>
        </w:trPr>
        <w:tc>
          <w:tcPr>
            <w:tcW w:w="1857" w:type="dxa"/>
            <w:tcBorders/>
            <w:vAlign w:val="center"/>
          </w:tcPr>
          <w:p>
            <w:pPr>
              <w:pStyle w:val="ListParagraph"/>
              <w:widowControl/>
              <w:spacing w:before="0" w:after="0"/>
              <w:ind w:start="0"/>
              <w:contextualSpacing/>
              <w:jc w:val="center"/>
              <w:rPr>
                <w:color w:val="000000"/>
                <w:kern w:val="2"/>
                <w:sz w:val="18"/>
                <w:szCs w:val="18"/>
                <w:lang w:val="pl-PL"/>
              </w:rPr>
            </w:pPr>
            <w:r>
              <w:rPr>
                <w:rFonts w:eastAsia="Times New Roman"/>
                <w:sz w:val="18"/>
                <w:szCs w:val="18"/>
                <w:lang w:val="pl-PL" w:eastAsia="ja-JP" w:bidi="ar-SA"/>
              </w:rPr>
              <w:t xml:space="preserve">Przepustowość firewalla </w:t>
              <w:br/>
              <w:t>(W na Gb/s)</w:t>
            </w:r>
          </w:p>
        </w:tc>
        <w:tc>
          <w:tcPr>
            <w:tcW w:w="1017"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1,7</w:t>
            </w:r>
          </w:p>
        </w:tc>
        <w:tc>
          <w:tcPr>
            <w:tcW w:w="1415" w:type="dxa"/>
            <w:tcBorders/>
            <w:shd w:color="auto" w:fill="C00000" w:val="clear"/>
            <w:vAlign w:val="center"/>
          </w:tcPr>
          <w:p>
            <w:pPr>
              <w:pStyle w:val="ListParagraph"/>
              <w:widowControl/>
              <w:spacing w:before="0" w:after="0"/>
              <w:ind w:start="0"/>
              <w:contextualSpacing/>
              <w:jc w:val="center"/>
              <w:rPr>
                <w:b/>
                <w:bCs/>
                <w:color w:themeColor="background1" w:val="FFFFFF"/>
                <w:kern w:val="2"/>
                <w:sz w:val="20"/>
                <w:szCs w:val="20"/>
                <w:lang w:val="pl-PL"/>
              </w:rPr>
            </w:pPr>
            <w:r>
              <w:rPr>
                <w:b/>
                <w:bCs/>
                <w:color w:themeColor="background1" w:val="FFFFFF"/>
                <w:kern w:val="2"/>
                <w:sz w:val="20"/>
                <w:szCs w:val="20"/>
                <w:lang w:val="pl-PL" w:eastAsia="ja-JP" w:bidi="ar-SA"/>
              </w:rPr>
              <w:t>6,3x</w:t>
            </w:r>
          </w:p>
        </w:tc>
        <w:tc>
          <w:tcPr>
            <w:tcW w:w="1086"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10,9</w:t>
            </w:r>
          </w:p>
        </w:tc>
        <w:tc>
          <w:tcPr>
            <w:tcW w:w="945"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12,1</w:t>
            </w:r>
          </w:p>
        </w:tc>
        <w:tc>
          <w:tcPr>
            <w:tcW w:w="1077"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22,2</w:t>
            </w:r>
          </w:p>
        </w:tc>
        <w:tc>
          <w:tcPr>
            <w:tcW w:w="1019"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2,3</w:t>
            </w:r>
          </w:p>
        </w:tc>
        <w:tc>
          <w:tcPr>
            <w:tcW w:w="944"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6,8</w:t>
            </w:r>
          </w:p>
        </w:tc>
      </w:tr>
      <w:tr>
        <w:trPr>
          <w:trHeight w:val="467" w:hRule="atLeast"/>
        </w:trPr>
        <w:tc>
          <w:tcPr>
            <w:tcW w:w="1857" w:type="dxa"/>
            <w:tcBorders/>
            <w:vAlign w:val="center"/>
          </w:tcPr>
          <w:p>
            <w:pPr>
              <w:pStyle w:val="ListParagraph"/>
              <w:widowControl/>
              <w:spacing w:before="0" w:after="0"/>
              <w:ind w:start="0"/>
              <w:contextualSpacing/>
              <w:jc w:val="center"/>
              <w:rPr>
                <w:color w:val="000000"/>
                <w:kern w:val="2"/>
                <w:sz w:val="18"/>
                <w:szCs w:val="18"/>
                <w:lang w:val="pl-PL"/>
              </w:rPr>
            </w:pPr>
            <w:r>
              <w:rPr>
                <w:rFonts w:eastAsia="Times New Roman"/>
                <w:sz w:val="18"/>
                <w:szCs w:val="18"/>
                <w:lang w:val="pl-PL" w:eastAsia="ja-JP" w:bidi="ar-SA"/>
              </w:rPr>
              <w:t xml:space="preserve">Przepustowość IPsec VPN </w:t>
              <w:br/>
              <w:t>(W na Gb/s)</w:t>
            </w:r>
          </w:p>
        </w:tc>
        <w:tc>
          <w:tcPr>
            <w:tcW w:w="1017"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5,1</w:t>
            </w:r>
          </w:p>
        </w:tc>
        <w:tc>
          <w:tcPr>
            <w:tcW w:w="1415" w:type="dxa"/>
            <w:tcBorders/>
            <w:shd w:color="auto" w:fill="C00000" w:val="clear"/>
            <w:vAlign w:val="center"/>
          </w:tcPr>
          <w:p>
            <w:pPr>
              <w:pStyle w:val="ListParagraph"/>
              <w:widowControl/>
              <w:spacing w:before="0" w:after="0"/>
              <w:ind w:start="0"/>
              <w:contextualSpacing/>
              <w:jc w:val="center"/>
              <w:rPr>
                <w:b/>
                <w:bCs/>
                <w:color w:themeColor="background1" w:val="FFFFFF"/>
                <w:kern w:val="2"/>
                <w:sz w:val="20"/>
                <w:szCs w:val="20"/>
                <w:lang w:val="pl-PL"/>
              </w:rPr>
            </w:pPr>
            <w:r>
              <w:rPr>
                <w:b/>
                <w:bCs/>
                <w:color w:themeColor="background1" w:val="FFFFFF"/>
                <w:kern w:val="2"/>
                <w:sz w:val="20"/>
                <w:szCs w:val="20"/>
                <w:lang w:val="pl-PL" w:eastAsia="ja-JP" w:bidi="ar-SA"/>
              </w:rPr>
              <w:t>4x</w:t>
            </w:r>
          </w:p>
        </w:tc>
        <w:tc>
          <w:tcPr>
            <w:tcW w:w="1086"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19</w:t>
            </w:r>
          </w:p>
        </w:tc>
        <w:tc>
          <w:tcPr>
            <w:tcW w:w="945"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25,8</w:t>
            </w:r>
          </w:p>
        </w:tc>
        <w:tc>
          <w:tcPr>
            <w:tcW w:w="1077"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36,4</w:t>
            </w:r>
          </w:p>
        </w:tc>
        <w:tc>
          <w:tcPr>
            <w:tcW w:w="1019"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4,9</w:t>
            </w:r>
          </w:p>
        </w:tc>
        <w:tc>
          <w:tcPr>
            <w:tcW w:w="944" w:type="dxa"/>
            <w:tcBorders/>
            <w:vAlign w:val="center"/>
          </w:tcPr>
          <w:p>
            <w:pPr>
              <w:pStyle w:val="ListParagraph"/>
              <w:widowControl/>
              <w:spacing w:before="0" w:after="0"/>
              <w:ind w:start="0"/>
              <w:contextualSpacing/>
              <w:jc w:val="center"/>
              <w:rPr>
                <w:color w:val="000000"/>
                <w:kern w:val="2"/>
                <w:sz w:val="20"/>
                <w:szCs w:val="20"/>
                <w:lang w:val="pl-PL"/>
              </w:rPr>
            </w:pPr>
            <w:r>
              <w:rPr>
                <w:color w:val="000000"/>
                <w:kern w:val="2"/>
                <w:sz w:val="20"/>
                <w:szCs w:val="20"/>
                <w:lang w:val="pl-PL" w:eastAsia="ja-JP" w:bidi="ar-SA"/>
              </w:rPr>
              <w:t>9</w:t>
            </w:r>
          </w:p>
        </w:tc>
      </w:tr>
    </w:tbl>
    <w:p>
      <w:pPr>
        <w:pStyle w:val="Normal"/>
        <w:rPr>
          <w:lang w:val="pl-PL"/>
        </w:rPr>
      </w:pPr>
      <w:r>
        <w:rPr>
          <w:lang w:val="pl-PL"/>
        </w:rPr>
      </w:r>
    </w:p>
    <w:p>
      <w:pPr>
        <w:pStyle w:val="ListParagraph"/>
        <w:numPr>
          <w:ilvl w:val="0"/>
          <w:numId w:val="1"/>
        </w:numPr>
        <w:jc w:val="both"/>
        <w:rPr>
          <w:rFonts w:eastAsia="Times New Roman"/>
          <w:i/>
          <w:color w:themeColor="text1" w:val="000000"/>
          <w:lang w:val="pl-PL"/>
        </w:rPr>
      </w:pPr>
      <w:r>
        <w:rPr>
          <w:rFonts w:eastAsia="Times New Roman"/>
          <w:i/>
          <w:color w:themeColor="text1" w:val="000000"/>
          <w:lang w:val="pl-PL"/>
        </w:rPr>
        <w:t>Wydajność mechanizmu ochrony przed zagrożeniami została zmierzona z uruchomionymi funkcjami firewalla, IPS, kontroli aplikacji, ochrony przed złośliwym kodem oraz włączonym logowaniem.</w:t>
      </w:r>
    </w:p>
    <w:p>
      <w:pPr>
        <w:pStyle w:val="ListParagraph"/>
        <w:numPr>
          <w:ilvl w:val="0"/>
          <w:numId w:val="1"/>
        </w:numPr>
        <w:jc w:val="both"/>
        <w:rPr>
          <w:rFonts w:eastAsia="Times New Roman"/>
          <w:i/>
          <w:color w:themeColor="text1" w:val="000000"/>
          <w:lang w:val="pl-PL"/>
        </w:rPr>
      </w:pPr>
      <w:r>
        <w:rPr>
          <w:rFonts w:eastAsia="Times New Roman"/>
          <w:i/>
          <w:color w:themeColor="text1" w:val="000000"/>
          <w:lang w:val="pl-PL"/>
        </w:rPr>
        <w:t>Wyniki wydajnościowe podane dla konkurencyjnych rozwiązań zostały pobrane z publicznie dostępnych źródeł. Metodyki testowania i wskaźniki wydajności mogą się różnić w zależności od dostawcy.</w:t>
      </w:r>
    </w:p>
    <w:p>
      <w:pPr>
        <w:pStyle w:val="ListParagraph"/>
        <w:numPr>
          <w:ilvl w:val="0"/>
          <w:numId w:val="1"/>
        </w:numPr>
        <w:spacing w:before="0" w:after="240"/>
        <w:contextualSpacing/>
        <w:jc w:val="both"/>
        <w:rPr>
          <w:rFonts w:eastAsia="Times New Roman"/>
          <w:i/>
          <w:color w:themeColor="text1" w:val="000000"/>
          <w:lang w:val="pl-PL"/>
        </w:rPr>
      </w:pPr>
      <w:r>
        <w:rPr>
          <w:rFonts w:eastAsia="Times New Roman"/>
          <w:i/>
          <w:color w:themeColor="text1" w:val="000000"/>
          <w:lang w:val="pl-PL"/>
        </w:rPr>
        <w:t>Dane dotyczące poboru energii zostały pobrane z opracowanej przez producentów dokumentacji (kart katalogowych i poradników sprzętowych) i dotyczą maksymalnego poboru mocy.</w:t>
      </w:r>
    </w:p>
    <w:p>
      <w:pPr>
        <w:pStyle w:val="Normal"/>
        <w:jc w:val="both"/>
        <w:rPr>
          <w:b/>
          <w:bCs/>
          <w:lang w:val="pl-PL"/>
        </w:rPr>
      </w:pPr>
      <w:r>
        <w:rPr>
          <w:b/>
          <w:bCs/>
          <w:lang w:val="pl-PL"/>
        </w:rPr>
        <w:t>Ujednolicona platforma do bezpiecznej komunikacji sieciowej</w:t>
      </w:r>
    </w:p>
    <w:p>
      <w:pPr>
        <w:pStyle w:val="Normal"/>
        <w:spacing w:before="0" w:after="240"/>
        <w:jc w:val="both"/>
        <w:rPr>
          <w:lang w:val="pl-PL"/>
        </w:rPr>
      </w:pPr>
      <w:r>
        <w:rPr>
          <w:lang w:val="pl-PL"/>
        </w:rPr>
        <w:t>Wszystkie te elementy wzmacniają oparte na platformie podejście firmy Fortinet, którego fundamentami są: pojedynczy system operacyjny, scentralizowane zarządzanie, analiza zagrożeń wspierana przez sztuczną inteligencję oraz możliwości bezpieczeństwa. Dzięki integracji systemu FortiOS, rozwiązań FortiManager i FortiAnalyzer oraz danych analitycznych gromadzonych przez zespół FortiGuard Labs w ramach zunifikowanej platformy Security Fabric możliwe jest ograniczenie liczby wykorzystywanych narzędzi, poprawa widoczności oraz przyspieszenie wykrywania zagrożeń i reagowania na nie, przy jednoczesnym obniżeniu całkowitego kosztu posiadania.</w:t>
      </w:r>
    </w:p>
    <w:p>
      <w:pPr>
        <w:pStyle w:val="Normal"/>
        <w:shd w:val="clear" w:color="auto" w:fill="FFFFFF"/>
        <w:rPr>
          <w:b/>
          <w:bCs/>
          <w:color w:val="333333"/>
          <w:lang w:val="pl-PL"/>
        </w:rPr>
      </w:pPr>
      <w:r>
        <w:rPr>
          <w:b/>
          <w:bCs/>
          <w:color w:val="333333"/>
          <w:lang w:val="pl-PL"/>
        </w:rPr>
        <w:t>Dodatkowe zasoby</w:t>
      </w:r>
    </w:p>
    <w:p>
      <w:pPr>
        <w:pStyle w:val="ListParagraph"/>
        <w:numPr>
          <w:ilvl w:val="0"/>
          <w:numId w:val="2"/>
        </w:numPr>
        <w:rPr>
          <w:lang w:val="pl-PL"/>
        </w:rPr>
      </w:pPr>
      <w:r>
        <w:rPr>
          <w:lang w:val="pl-PL"/>
        </w:rPr>
        <w:t xml:space="preserve">Więcej informacji o firewallach FortiGate </w:t>
      </w:r>
      <w:hyperlink r:id="rId2">
        <w:r>
          <w:rPr>
            <w:rStyle w:val="Hyperlink"/>
            <w:lang w:val="pl-PL"/>
          </w:rPr>
          <w:t>3500G</w:t>
        </w:r>
      </w:hyperlink>
      <w:r>
        <w:rPr>
          <w:lang w:val="pl-PL"/>
        </w:rPr>
        <w:t xml:space="preserve"> oraz </w:t>
      </w:r>
      <w:hyperlink r:id="rId3">
        <w:r>
          <w:rPr>
            <w:rStyle w:val="Hyperlink"/>
            <w:lang w:val="pl-PL"/>
          </w:rPr>
          <w:t>400G</w:t>
        </w:r>
      </w:hyperlink>
      <w:r>
        <w:rPr>
          <w:lang w:val="pl-PL"/>
        </w:rPr>
        <w:t xml:space="preserve">. </w:t>
      </w:r>
    </w:p>
    <w:p>
      <w:pPr>
        <w:pStyle w:val="ListParagraph"/>
        <w:numPr>
          <w:ilvl w:val="0"/>
          <w:numId w:val="2"/>
        </w:numPr>
        <w:rPr>
          <w:lang w:val="pl-PL"/>
        </w:rPr>
      </w:pPr>
      <w:r>
        <w:rPr>
          <w:lang w:val="pl-PL"/>
        </w:rPr>
        <w:t xml:space="preserve">Więcej informacji o platformie </w:t>
      </w:r>
      <w:hyperlink r:id="rId4">
        <w:r>
          <w:rPr>
            <w:rStyle w:val="Hyperlink"/>
            <w:lang w:val="pl-PL"/>
          </w:rPr>
          <w:t>Fortinet Security Fabric</w:t>
        </w:r>
      </w:hyperlink>
      <w:r>
        <w:rPr>
          <w:lang w:val="pl-PL"/>
        </w:rPr>
        <w:t xml:space="preserve">. </w:t>
      </w:r>
    </w:p>
    <w:p>
      <w:pPr>
        <w:pStyle w:val="ListParagraph"/>
        <w:numPr>
          <w:ilvl w:val="0"/>
          <w:numId w:val="2"/>
        </w:numPr>
        <w:rPr>
          <w:lang w:val="pl-PL"/>
        </w:rPr>
      </w:pPr>
      <w:r>
        <w:rPr>
          <w:lang w:val="pl-PL"/>
        </w:rPr>
        <w:t xml:space="preserve">Więcej informacji o </w:t>
      </w:r>
      <w:hyperlink r:id="rId5">
        <w:r>
          <w:rPr>
            <w:rStyle w:val="Hyperlink"/>
            <w:lang w:val="pl-PL"/>
          </w:rPr>
          <w:t>otwatym ekosystemie Fortinet</w:t>
        </w:r>
      </w:hyperlink>
      <w:r>
        <w:rPr>
          <w:lang w:val="pl-PL"/>
        </w:rPr>
        <w:t>.</w:t>
      </w:r>
    </w:p>
    <w:p>
      <w:pPr>
        <w:pStyle w:val="ListParagraph"/>
        <w:numPr>
          <w:ilvl w:val="0"/>
          <w:numId w:val="2"/>
        </w:numPr>
        <w:rPr>
          <w:color w:themeColor="text1" w:val="000000"/>
          <w:lang w:val="pl-PL"/>
        </w:rPr>
      </w:pPr>
      <w:r>
        <w:rPr>
          <w:lang w:val="pl-PL"/>
        </w:rPr>
        <w:t>Na stronie </w:t>
      </w:r>
      <w:hyperlink r:id="rId6">
        <w:r>
          <w:rPr>
            <w:rStyle w:val="Hyperlink"/>
            <w:lang w:val="pl-PL"/>
          </w:rPr>
          <w:t>fortinet.com/trust</w:t>
        </w:r>
      </w:hyperlink>
      <w:r>
        <w:rPr>
          <w:lang w:val="pl-PL"/>
        </w:rPr>
        <w:t> dostępne są informacje o innowacjach Fortinet, współpracy z partnerami, procesach zabezpieczania produktów oraz rozwiązaniach klasy korporacyjnej.</w:t>
      </w:r>
    </w:p>
    <w:p>
      <w:pPr>
        <w:pStyle w:val="ListParagraph"/>
        <w:numPr>
          <w:ilvl w:val="0"/>
          <w:numId w:val="2"/>
        </w:numPr>
        <w:rPr>
          <w:lang w:val="pl-PL"/>
        </w:rPr>
      </w:pPr>
      <w:r>
        <w:rPr>
          <w:lang w:val="pl-PL"/>
        </w:rPr>
        <w:t xml:space="preserve">Więcej informacji o tym, jak </w:t>
      </w:r>
      <w:hyperlink r:id="rId7">
        <w:r>
          <w:rPr>
            <w:rStyle w:val="Hyperlink"/>
            <w:lang w:val="pl-PL"/>
          </w:rPr>
          <w:t>klienci firmy Fortinet</w:t>
        </w:r>
      </w:hyperlink>
      <w:r>
        <w:rPr>
          <w:lang w:val="pl-PL"/>
        </w:rPr>
        <w:t xml:space="preserve"> zabezpieczają swoje przedsiębiorstwa.</w:t>
      </w:r>
    </w:p>
    <w:p>
      <w:pPr>
        <w:pStyle w:val="ListParagraph"/>
        <w:numPr>
          <w:ilvl w:val="0"/>
          <w:numId w:val="2"/>
        </w:numPr>
        <w:rPr>
          <w:color w:themeColor="text1" w:val="000000"/>
          <w:lang w:val="pl-PL"/>
        </w:rPr>
      </w:pPr>
      <w:r>
        <w:rPr>
          <w:lang w:val="pl-PL"/>
        </w:rPr>
        <w:t xml:space="preserve">Więcej informacji o </w:t>
      </w:r>
      <w:hyperlink r:id="rId8">
        <w:r>
          <w:rPr>
            <w:rStyle w:val="Hyperlink"/>
            <w:lang w:val="pl-PL"/>
          </w:rPr>
          <w:t>zaangażowaniu firmy Fortinet w bezpieczeństwo i integralność produktów</w:t>
        </w:r>
      </w:hyperlink>
      <w:r>
        <w:rPr>
          <w:lang w:val="pl-PL"/>
        </w:rPr>
        <w:t>, w tym o odpowiedzialnym rozwoju produktów oraz podejściu i zasadach ujawniania podatności.</w:t>
      </w:r>
    </w:p>
    <w:p>
      <w:pPr>
        <w:pStyle w:val="ListParagraph"/>
        <w:numPr>
          <w:ilvl w:val="0"/>
          <w:numId w:val="2"/>
        </w:numPr>
        <w:rPr>
          <w:lang w:val="pl-PL" w:eastAsia="zh-TW"/>
        </w:rPr>
      </w:pPr>
      <w:r>
        <w:rPr>
          <w:lang w:val="pl-PL"/>
        </w:rPr>
        <w:t xml:space="preserve">Profile firmy Fortinet w mediach społecznościowych: </w:t>
      </w:r>
      <w:hyperlink r:id="rId9">
        <w:r>
          <w:rPr>
            <w:rStyle w:val="Hyperlink"/>
            <w:lang w:val="pl-PL"/>
          </w:rPr>
          <w:t>Twitter</w:t>
        </w:r>
      </w:hyperlink>
      <w:r>
        <w:rPr>
          <w:lang w:val="pl-PL"/>
        </w:rPr>
        <w:t xml:space="preserve">, </w:t>
      </w:r>
      <w:hyperlink r:id="rId10">
        <w:r>
          <w:rPr>
            <w:rStyle w:val="Hyperlink"/>
            <w:lang w:val="pl-PL"/>
          </w:rPr>
          <w:t>LinkedIn</w:t>
        </w:r>
      </w:hyperlink>
      <w:r>
        <w:rPr>
          <w:lang w:val="pl-PL"/>
        </w:rPr>
        <w:t xml:space="preserve">, </w:t>
      </w:r>
      <w:hyperlink r:id="rId11">
        <w:r>
          <w:rPr>
            <w:rStyle w:val="Hyperlink"/>
            <w:lang w:val="pl-PL"/>
          </w:rPr>
          <w:t>Facebook</w:t>
        </w:r>
      </w:hyperlink>
      <w:r>
        <w:rPr>
          <w:lang w:val="pl-PL"/>
        </w:rPr>
        <w:t xml:space="preserve">, </w:t>
      </w:r>
      <w:hyperlink r:id="rId12">
        <w:r>
          <w:rPr>
            <w:rStyle w:val="Hyperlink"/>
            <w:lang w:val="pl-PL"/>
          </w:rPr>
          <w:t>YouTube</w:t>
        </w:r>
      </w:hyperlink>
      <w:r>
        <w:rPr>
          <w:lang w:val="pl-PL"/>
        </w:rPr>
        <w:t xml:space="preserve"> oraz </w:t>
      </w:r>
      <w:hyperlink r:id="rId13">
        <w:r>
          <w:rPr>
            <w:rStyle w:val="Hyperlink"/>
            <w:lang w:val="pl-PL"/>
          </w:rPr>
          <w:t>Instagram</w:t>
        </w:r>
      </w:hyperlink>
      <w:r>
        <w:rPr>
          <w:lang w:val="pl-PL" w:eastAsia="zh-TW"/>
        </w:rPr>
        <w:t xml:space="preserve">. Dodatkowe informacje dostępne są także na </w:t>
      </w:r>
      <w:hyperlink r:id="rId14">
        <w:r>
          <w:rPr>
            <w:rStyle w:val="Hyperlink"/>
            <w:lang w:val="pl-PL" w:eastAsia="zh-TW"/>
          </w:rPr>
          <w:t>blogu</w:t>
        </w:r>
      </w:hyperlink>
      <w:r>
        <w:rPr>
          <w:lang w:val="pl-PL" w:eastAsia="zh-TW"/>
        </w:rPr>
        <w:t>.</w:t>
      </w:r>
    </w:p>
    <w:p>
      <w:pPr>
        <w:pStyle w:val="Normal"/>
        <w:spacing w:lineRule="auto" w:line="240"/>
        <w:rPr>
          <w:lang w:val="pl-PL"/>
        </w:rPr>
      </w:pPr>
      <w:r>
        <w:rPr>
          <w:lang w:val="pl-PL"/>
        </w:rPr>
        <w:t xml:space="preserve"> </w:t>
      </w:r>
    </w:p>
    <w:p>
      <w:pPr>
        <w:pStyle w:val="Normal"/>
        <w:ind w:start="360"/>
        <w:jc w:val="center"/>
        <w:rPr>
          <w:sz w:val="20"/>
          <w:szCs w:val="20"/>
          <w:lang w:val="pl-PL"/>
        </w:rPr>
      </w:pPr>
      <w:r>
        <w:rPr>
          <w:sz w:val="20"/>
          <w:szCs w:val="20"/>
          <w:lang w:val="pl-PL"/>
        </w:rPr>
        <w:t>***</w:t>
      </w:r>
    </w:p>
    <w:p>
      <w:pPr>
        <w:pStyle w:val="Normal"/>
        <w:pBdr/>
        <w:shd w:val="clear" w:color="auto" w:fill="FFFFFF" w:themeFill="background1"/>
        <w:spacing w:before="0" w:after="240"/>
        <w:jc w:val="both"/>
        <w:rPr>
          <w:rFonts w:eastAsia="Helvetica Neue"/>
          <w:sz w:val="16"/>
          <w:szCs w:val="16"/>
          <w:lang w:val="pl-PL"/>
        </w:rPr>
      </w:pPr>
      <w:hyperlink r:id="rId15" w:tgtFrame="_blank">
        <w:r>
          <w:rPr>
            <w:rStyle w:val="Hyperlink"/>
            <w:sz w:val="16"/>
            <w:szCs w:val="16"/>
            <w:lang w:val="pl-PL"/>
          </w:rPr>
          <w:t>Fortinet</w:t>
        </w:r>
      </w:hyperlink>
      <w:r>
        <w:rPr>
          <w:color w:themeColor="text1" w:val="000000"/>
          <w:sz w:val="16"/>
          <w:szCs w:val="16"/>
          <w:lang w:val="pl-PL"/>
        </w:rPr>
        <w:t xml:space="preserve"> jest jednym z liderów ewolucji branży cyberbezpieczeństwa oraz konwergencji sieci i zabezpieczeń. Naszą misją jest ochrona ludzi, urządzeń i danych, niezależnie od ich lokalizacji. Dzięki największemu zintegrowanemu portfolio ponad 50 produktów klasy korporacyjnej jesteśmy w stanie zapewnić cyfrowe bezpieczeństwo wszędzie tam, gdzie potrzebują go nasi klienci. Ponad pół miliona firm zaufało opatentowanym rozwiązaniom Fortinet, które są jednymi z najczęściej wdrażanych i sprawdzonych w branży. </w:t>
      </w:r>
      <w:hyperlink r:id="rId16" w:tgtFrame="_blank">
        <w:r>
          <w:rPr>
            <w:rStyle w:val="Hyperlink"/>
            <w:sz w:val="16"/>
            <w:szCs w:val="16"/>
            <w:lang w:val="pl-PL"/>
          </w:rPr>
          <w:t>Fortinet Training Institute</w:t>
        </w:r>
      </w:hyperlink>
      <w:r>
        <w:rPr>
          <w:color w:themeColor="text1" w:val="000000"/>
          <w:sz w:val="16"/>
          <w:szCs w:val="16"/>
          <w:lang w:val="pl-PL"/>
        </w:rPr>
        <w:t xml:space="preserve">, jeden z największych i najszerszych programów szkoleniowych w branży, ma na celu udostępnienie wszystkim szkoleń z zakresu cyberbezpieczeństwa oraz nowych możliwości kariery. Współpraca z </w:t>
      </w:r>
      <w:hyperlink r:id="rId17" w:tgtFrame="_blank">
        <w:r>
          <w:rPr>
            <w:rStyle w:val="Hyperlink"/>
            <w:sz w:val="16"/>
            <w:szCs w:val="16"/>
            <w:lang w:val="pl-PL"/>
          </w:rPr>
          <w:t>cenionymi organizacjami</w:t>
        </w:r>
      </w:hyperlink>
      <w:r>
        <w:rPr>
          <w:color w:themeColor="text1" w:val="000000"/>
          <w:sz w:val="16"/>
          <w:szCs w:val="16"/>
          <w:lang w:val="pl-PL"/>
        </w:rPr>
        <w:t xml:space="preserve"> zarówno z sektora publicznego, jak i prywatnego, w tym zespołami reagowania na incydenty komputerowe (Computer Emergency Response Teams, CERT), podmiotami rządowymi i środowiskiem akademickim, jest podstawowym aspektem zaangażowania firmy Fortinet w zwiększanie cyfrowej odporności na całym świecie. </w:t>
      </w:r>
      <w:hyperlink r:id="rId18" w:tgtFrame="_blank">
        <w:r>
          <w:rPr>
            <w:rStyle w:val="Hyperlink"/>
            <w:sz w:val="16"/>
            <w:szCs w:val="16"/>
            <w:lang w:val="pl-PL"/>
          </w:rPr>
          <w:t>FortiGuard Labs</w:t>
        </w:r>
      </w:hyperlink>
      <w:r>
        <w:rPr>
          <w:color w:themeColor="text1" w:val="000000"/>
          <w:sz w:val="16"/>
          <w:szCs w:val="16"/>
          <w:lang w:val="pl-PL"/>
        </w:rPr>
        <w:t xml:space="preserve">, elitarna jednostka Fortinet zajmująca się analizą zagrożeń i badaniami, opracowuje i wykorzystuje najnowocześniejsze techniki uczenia maszynowego oraz sztucznej inteligencji, aby zapewnić klientom terminową, konsekwentnie najwyżej ocenianą ochronę i analizę zagrożeń. Więcej informacji dostępnych jest na stronie </w:t>
      </w:r>
      <w:hyperlink r:id="rId19" w:tgtFrame="_blank">
        <w:r>
          <w:rPr>
            <w:rStyle w:val="Hyperlink"/>
            <w:sz w:val="16"/>
            <w:szCs w:val="16"/>
            <w:lang w:val="pl-PL"/>
          </w:rPr>
          <w:t>www.fortinet.com</w:t>
        </w:r>
      </w:hyperlink>
      <w:r>
        <w:rPr>
          <w:color w:themeColor="text1" w:val="000000"/>
          <w:sz w:val="16"/>
          <w:szCs w:val="16"/>
          <w:lang w:val="pl-PL"/>
        </w:rPr>
        <w:t xml:space="preserve">, </w:t>
      </w:r>
      <w:hyperlink r:id="rId20" w:tgtFrame="_blank">
        <w:r>
          <w:rPr>
            <w:rStyle w:val="Hyperlink"/>
            <w:sz w:val="16"/>
            <w:szCs w:val="16"/>
            <w:lang w:val="pl-PL"/>
          </w:rPr>
          <w:t>blogu Fortinet</w:t>
        </w:r>
      </w:hyperlink>
      <w:r>
        <w:rPr>
          <w:color w:themeColor="text1" w:val="000000"/>
          <w:sz w:val="16"/>
          <w:szCs w:val="16"/>
          <w:lang w:val="pl-PL"/>
        </w:rPr>
        <w:t xml:space="preserve"> oraz stronie </w:t>
      </w:r>
      <w:hyperlink r:id="rId21">
        <w:r>
          <w:rPr>
            <w:rStyle w:val="Style"/>
            <w:color w:val="467886"/>
            <w:sz w:val="16"/>
            <w:szCs w:val="16"/>
            <w:u w:val="single"/>
            <w:lang w:val="pl-PL"/>
          </w:rPr>
          <w:t>FortiGuard Labs</w:t>
        </w:r>
      </w:hyperlink>
      <w:r>
        <w:rPr>
          <w:sz w:val="16"/>
          <w:szCs w:val="16"/>
          <w:lang w:val="pl-PL"/>
        </w:rPr>
        <w:t>.</w:t>
      </w:r>
    </w:p>
    <w:p>
      <w:pPr>
        <w:pStyle w:val="Normal"/>
        <w:jc w:val="both"/>
        <w:rPr>
          <w:lang w:val="pl-PL"/>
        </w:rPr>
      </w:pPr>
      <w:r>
        <w:rPr>
          <w:rFonts w:eastAsia="Times New Roman"/>
          <w:i/>
          <w:iCs/>
          <w:color w:val="000000"/>
          <w:sz w:val="16"/>
          <w:szCs w:val="16"/>
        </w:rPr>
        <w:t xml:space="preserve">Copyright © 2026 Fortinet, Inc. All rights reserved. The symbols ® and ™ denote respectively federally registered trademarks and common law trademarks of Fortinet, Inc., its subsidiaries and affiliates. Fortinet’s trademarks include, but are not limited to, the following: Fortinet, the Fortinet logo, FortiGate, FortiOS, FortiGuard, FortiCare, FortiAnalyzer, FortiManager, FortiASIC, FortiClient, FortiCloud, FortiMail, FortiSandbox, FortiADC, FortiAI, FortiAIOps, FortiAgent, FortiAntenna, FortiAP, FortiAPCam, FortiAuthenticator, FortiCache, FortiCall, FortiCam, FortiCamera, FortiCarrier, FortiCASB, FortiCentral, FortiCNP, FortiConnect, FortiController, FortiConverter, FortiCSPM, FortiCWP, FortiDAST, FortiDB, FortiDDoS, FortiDeceptor, FortiDeploy, FortiDevSec, FortiDLP, FortiEdge, FortiEDR, FortiExplorer, FortiExtender, FortiFirewall, FortiFlex FortiFone, FortiGSLB, FortiGuest, FortiHypervisor, FortiInsight, FortiIsolator, FortiLAN, FortiLink, FortiMonitor, FortiNAC, FortiNDR, FortiPAM, FortiPenTest, FortiPhish, FortiPoint, FortiPolicy, FortiPortal, FortiPresence, FortiProxy, FortiRecon, FortiRecorder, FortiSASE, FortiScanner, FortiSDNConnector, FortiSIEM, FortiSMS, FortiSOAR, FortiSRA, FortiStack, FortiSwitch, FortiTester, FortiToken, FortiTrust, FortiVoice, FortiWAN, FortiWeb, FortiWiFi, FortiWLC, FortiWLM, FortiXDR and Lacework FortiCNAPP. </w:t>
      </w:r>
      <w:r>
        <w:rPr>
          <w:i/>
          <w:iCs/>
          <w:sz w:val="16"/>
          <w:szCs w:val="16"/>
          <w:lang w:val="pl-PL"/>
        </w:rPr>
        <w:t>Inne znaki towarowe należą do odpowiednich właścicieli. Firma Fortinet nie zweryfikowała niezależnie oświadczeń lub certyfikatów przypisanych stronom trzecim i nie promuje niezależnie takich oświadczeń. Niezależnie od jakichkolwiek przeciwnych stwierdzeń zawartych w niniejszym dokumencie, żadne z nich nie stanowi gwarancji, rękojmi, umowy, wiążącej specyfikacji ani innego wiążącego zobowiązania ze strony firmy Fortinet lub jakiegokolwiek wskazania zamiaru związanego z wiążącym zobowiązaniem, a informacje dotyczące wydajności i innych specyfikacji zawarte w niniejszym dokumencie mogą być unikalne dla niektórych środowisk.</w:t>
      </w:r>
    </w:p>
    <w:p>
      <w:pPr>
        <w:pStyle w:val="Normal"/>
        <w:rPr>
          <w:lang w:val="pl-PL"/>
        </w:rPr>
      </w:pPr>
      <w:r>
        <w:rPr>
          <w:lang w:val="pl-PL"/>
        </w:rPr>
      </w:r>
    </w:p>
    <w:sectPr>
      <w:headerReference w:type="even" r:id="rId22"/>
      <w:headerReference w:type="default" r:id="rId23"/>
      <w:headerReference w:type="first" r:id="rId24"/>
      <w:type w:val="nextPage"/>
      <w:pgSz w:w="12240" w:h="15840"/>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rial">
    <w:charset w:val="ee" w:characterSet="windows-1250"/>
    <w:family w:val="swiss"/>
    <w:pitch w:val="variable"/>
  </w:font>
  <w:font w:name="Aptos Display">
    <w:charset w:val="ee" w:characterSet="windows-1250"/>
    <w:family w:val="swiss"/>
    <w:pitch w:val="variable"/>
  </w:font>
  <w:font w:name="Aptos Display">
    <w:charset w:val="ee" w:characterSet="windows-1250"/>
    <w:family w:val="roman"/>
    <w:pitch w:val="variable"/>
  </w:font>
  <w:font w:name="Liberation Sans">
    <w:altName w:val="Arial"/>
    <w:charset w:val="ee" w:characterSet="windows-125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6" behindDoc="1" locked="0" layoutInCell="0" allowOverlap="1">
          <wp:simplePos x="0" y="0"/>
          <wp:positionH relativeFrom="margin">
            <wp:align>right</wp:align>
          </wp:positionH>
          <wp:positionV relativeFrom="margin">
            <wp:posOffset>-488950</wp:posOffset>
          </wp:positionV>
          <wp:extent cx="1905000" cy="21907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6" behindDoc="1" locked="0" layoutInCell="0" allowOverlap="1">
          <wp:simplePos x="0" y="0"/>
          <wp:positionH relativeFrom="margin">
            <wp:align>right</wp:align>
          </wp:positionH>
          <wp:positionV relativeFrom="margin">
            <wp:posOffset>-488950</wp:posOffset>
          </wp:positionV>
          <wp:extent cx="1905000" cy="219075"/>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7f59"/>
    <w:pPr>
      <w:widowControl/>
      <w:bidi w:val="0"/>
      <w:spacing w:lineRule="auto" w:line="276" w:before="0" w:after="0"/>
      <w:jc w:val="start"/>
    </w:pPr>
    <w:rPr>
      <w:rFonts w:ascii="Arial" w:hAnsi="Arial" w:eastAsia="Arial" w:cs="Arial"/>
      <w:color w:val="auto"/>
      <w:kern w:val="0"/>
      <w:sz w:val="22"/>
      <w:szCs w:val="22"/>
      <w:lang w:val="en-US" w:eastAsia="en-US" w:bidi="ar-SA"/>
      <w14:ligatures w14:val="none"/>
    </w:rPr>
  </w:style>
  <w:style w:type="paragraph" w:styleId="Heading1">
    <w:name w:val="heading 1"/>
    <w:basedOn w:val="Normal"/>
    <w:next w:val="Normal"/>
    <w:link w:val="Nagwek1Znak"/>
    <w:uiPriority w:val="9"/>
    <w:qFormat/>
    <w:rsid w:val="00cc3a2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cc3a2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cc3a2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cc3a2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cc3a2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cc3a2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cc3a2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cc3a25"/>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cc3a25"/>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cc3a25"/>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cc3a25"/>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cc3a25"/>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cc3a25"/>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cc3a25"/>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cc3a25"/>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cc3a25"/>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cc3a25"/>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cc3a25"/>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cc3a25"/>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cc3a25"/>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cc3a25"/>
    <w:rPr>
      <w:i/>
      <w:iCs/>
      <w:color w:themeColor="text1" w:themeTint="bf" w:val="404040"/>
    </w:rPr>
  </w:style>
  <w:style w:type="character" w:styleId="IntenseEmphasis">
    <w:name w:val="Intense Emphasis"/>
    <w:basedOn w:val="DefaultParagraphFont"/>
    <w:uiPriority w:val="21"/>
    <w:qFormat/>
    <w:rsid w:val="00cc3a25"/>
    <w:rPr>
      <w:i/>
      <w:iCs/>
      <w:color w:themeColor="accent1" w:themeShade="bf" w:val="0F4761"/>
    </w:rPr>
  </w:style>
  <w:style w:type="character" w:styleId="CytatintensywnyZnak" w:customStyle="1">
    <w:name w:val="Cytat intensywny Znak"/>
    <w:basedOn w:val="DefaultParagraphFont"/>
    <w:link w:val="IntenseQuote"/>
    <w:uiPriority w:val="30"/>
    <w:qFormat/>
    <w:rsid w:val="00cc3a25"/>
    <w:rPr>
      <w:i/>
      <w:iCs/>
      <w:color w:themeColor="accent1" w:themeShade="bf" w:val="0F4761"/>
    </w:rPr>
  </w:style>
  <w:style w:type="character" w:styleId="IntenseReference">
    <w:name w:val="Intense Reference"/>
    <w:basedOn w:val="DefaultParagraphFont"/>
    <w:uiPriority w:val="32"/>
    <w:qFormat/>
    <w:rsid w:val="00cc3a25"/>
    <w:rPr>
      <w:b/>
      <w:bCs/>
      <w:smallCaps/>
      <w:color w:themeColor="accent1" w:themeShade="bf" w:val="0F4761"/>
      <w:spacing w:val="5"/>
    </w:rPr>
  </w:style>
  <w:style w:type="character" w:styleId="Hyperlink">
    <w:name w:val="Hyperlink"/>
    <w:basedOn w:val="DefaultParagraphFont"/>
    <w:uiPriority w:val="99"/>
    <w:unhideWhenUsed/>
    <w:rsid w:val="00137f59"/>
    <w:rPr>
      <w:color w:themeColor="hyperlink" w:val="467886"/>
      <w:u w:val="single"/>
    </w:rPr>
  </w:style>
  <w:style w:type="character" w:styleId="NagwekZnak" w:customStyle="1">
    <w:name w:val="Nagłówek Znak"/>
    <w:basedOn w:val="DefaultParagraphFont"/>
    <w:uiPriority w:val="99"/>
    <w:qFormat/>
    <w:rsid w:val="00137f59"/>
    <w:rPr>
      <w:rFonts w:ascii="Arial" w:hAnsi="Arial" w:eastAsia="Arial" w:cs="Arial"/>
      <w:kern w:val="0"/>
      <w:sz w:val="22"/>
      <w:szCs w:val="22"/>
      <w:lang w:val="en-US"/>
      <w14:ligatures w14:val="none"/>
    </w:rPr>
  </w:style>
  <w:style w:type="character" w:styleId="CommentReference">
    <w:name w:val="annotation reference"/>
    <w:basedOn w:val="DefaultParagraphFont"/>
    <w:uiPriority w:val="99"/>
    <w:semiHidden/>
    <w:unhideWhenUsed/>
    <w:qFormat/>
    <w:rsid w:val="00d9233c"/>
    <w:rPr>
      <w:sz w:val="16"/>
      <w:szCs w:val="16"/>
    </w:rPr>
  </w:style>
  <w:style w:type="character" w:styleId="TekstkomentarzaZnak" w:customStyle="1">
    <w:name w:val="Tekst komentarza Znak"/>
    <w:basedOn w:val="DefaultParagraphFont"/>
    <w:link w:val="CommentText"/>
    <w:uiPriority w:val="99"/>
    <w:qFormat/>
    <w:rsid w:val="00d9233c"/>
    <w:rPr>
      <w:rFonts w:ascii="Arial" w:hAnsi="Arial" w:eastAsia="Arial" w:cs="Arial"/>
      <w:kern w:val="0"/>
      <w:sz w:val="20"/>
      <w:szCs w:val="20"/>
      <w:lang w:val="en-US"/>
      <w14:ligatures w14:val="none"/>
    </w:rPr>
  </w:style>
  <w:style w:type="character" w:styleId="TematkomentarzaZnak" w:customStyle="1">
    <w:name w:val="Temat komentarza Znak"/>
    <w:basedOn w:val="TekstkomentarzaZnak"/>
    <w:link w:val="annotationsubject"/>
    <w:uiPriority w:val="99"/>
    <w:semiHidden/>
    <w:qFormat/>
    <w:rsid w:val="00d9233c"/>
    <w:rPr>
      <w:rFonts w:ascii="Arial" w:hAnsi="Arial" w:eastAsia="Arial" w:cs="Arial"/>
      <w:b/>
      <w:bCs/>
      <w:kern w:val="0"/>
      <w:sz w:val="20"/>
      <w:szCs w:val="20"/>
      <w:lang w:val="en-US"/>
      <w14:ligatures w14:val="non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cc3a2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cc3a25"/>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cc3a25"/>
    <w:pPr>
      <w:spacing w:before="160" w:after="0"/>
      <w:jc w:val="center"/>
    </w:pPr>
    <w:rPr>
      <w:i/>
      <w:iCs/>
      <w:color w:themeColor="text1" w:themeTint="bf" w:val="404040"/>
    </w:rPr>
  </w:style>
  <w:style w:type="paragraph" w:styleId="ListParagraph">
    <w:name w:val="List Paragraph"/>
    <w:basedOn w:val="Normal"/>
    <w:uiPriority w:val="34"/>
    <w:qFormat/>
    <w:rsid w:val="00cc3a25"/>
    <w:pPr>
      <w:spacing w:before="0" w:after="0"/>
      <w:ind w:start="720"/>
      <w:contextualSpacing/>
    </w:pPr>
    <w:rPr/>
  </w:style>
  <w:style w:type="paragraph" w:styleId="IntenseQuote">
    <w:name w:val="Intense Quote"/>
    <w:basedOn w:val="Normal"/>
    <w:next w:val="Normal"/>
    <w:link w:val="CytatintensywnyZnak"/>
    <w:uiPriority w:val="30"/>
    <w:qFormat/>
    <w:rsid w:val="00cc3a25"/>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Gwkaistopka">
    <w:name w:val="Główka i stopka"/>
    <w:basedOn w:val="Normal"/>
    <w:qFormat/>
    <w:pPr/>
    <w:rPr/>
  </w:style>
  <w:style w:type="paragraph" w:styleId="Header">
    <w:name w:val="header"/>
    <w:basedOn w:val="Normal"/>
    <w:link w:val="NagwekZnak"/>
    <w:uiPriority w:val="99"/>
    <w:unhideWhenUsed/>
    <w:rsid w:val="00137f59"/>
    <w:pPr>
      <w:tabs>
        <w:tab w:val="clear" w:pos="708"/>
        <w:tab w:val="center" w:pos="4536" w:leader="none"/>
        <w:tab w:val="right" w:pos="9072" w:leader="none"/>
      </w:tabs>
      <w:spacing w:lineRule="auto" w:line="240"/>
    </w:pPr>
    <w:rPr/>
  </w:style>
  <w:style w:type="paragraph" w:styleId="Revision">
    <w:name w:val="Revision"/>
    <w:uiPriority w:val="99"/>
    <w:semiHidden/>
    <w:qFormat/>
    <w:rsid w:val="00d9233c"/>
    <w:pPr>
      <w:widowControl/>
      <w:bidi w:val="0"/>
      <w:spacing w:lineRule="auto" w:line="240" w:before="0" w:after="0"/>
      <w:jc w:val="start"/>
    </w:pPr>
    <w:rPr>
      <w:rFonts w:ascii="Arial" w:hAnsi="Arial" w:eastAsia="Arial" w:cs="Arial"/>
      <w:color w:val="auto"/>
      <w:kern w:val="0"/>
      <w:sz w:val="22"/>
      <w:szCs w:val="22"/>
      <w:lang w:val="en-US" w:eastAsia="en-US" w:bidi="ar-SA"/>
      <w14:ligatures w14:val="none"/>
    </w:rPr>
  </w:style>
  <w:style w:type="paragraph" w:styleId="CommentText">
    <w:name w:val="annotation text"/>
    <w:basedOn w:val="Normal"/>
    <w:link w:val="TekstkomentarzaZnak"/>
    <w:uiPriority w:val="99"/>
    <w:unhideWhenUsed/>
    <w:rsid w:val="00d9233c"/>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d9233c"/>
    <w:pPr/>
    <w:rPr>
      <w:b/>
      <w:bCs/>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137f59"/>
    <w:pPr>
      <w:spacing w:after="0" w:line="240" w:lineRule="auto"/>
    </w:pPr>
    <w:rPr>
      <w:rFonts w:eastAsiaTheme="minorEastAsia"/>
      <w:lang w:val="en-US"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ortinet.com/content/dam/fortinet/assets/data-sheets/pdf/fortigate-3500g-series.pdf" TargetMode="External"/><Relationship Id="rId3" Type="http://schemas.openxmlformats.org/officeDocument/2006/relationships/hyperlink" Target="https://www.fortinet.com/content/dam/fortinet/assets/data-sheets/pdf/fortigate-400g-series.pdf" TargetMode="External"/><Relationship Id="rId4" Type="http://schemas.openxmlformats.org/officeDocument/2006/relationships/hyperlink" Target="https://fortinet.com/content/fortinet-com/en_us/solutions/enterprise-midsize-business/security-fabric.html" TargetMode="External"/><Relationship Id="rId5" Type="http://schemas.openxmlformats.org/officeDocument/2006/relationships/hyperlink" Target="https://fortinet.com/content/fortinet-com/en_us/partners/technology-alliances/alliances-ecosystem.html" TargetMode="External"/><Relationship Id="rId6" Type="http://schemas.openxmlformats.org/officeDocument/2006/relationships/hyperlink" Target="https://www.fortinet.com/trust" TargetMode="External"/><Relationship Id="rId7" Type="http://schemas.openxmlformats.org/officeDocument/2006/relationships/hyperlink" Target="https://www.fortinet.com/customers?utm_source=website&amp;utm_medium=pr&amp;utm_campaign=customers" TargetMode="External"/><Relationship Id="rId8" Type="http://schemas.openxmlformats.org/officeDocument/2006/relationships/hyperlink" Target="https://trust.fortinet.com/?itemName=infrastructure&amp;source=click" TargetMode="External"/><Relationship Id="rId9" Type="http://schemas.openxmlformats.org/officeDocument/2006/relationships/hyperlink" Target="https://twitter.com/Fortinet" TargetMode="External"/><Relationship Id="rId10" Type="http://schemas.openxmlformats.org/officeDocument/2006/relationships/hyperlink" Target="https://www.linkedin.com/company/fortinet" TargetMode="External"/><Relationship Id="rId11" Type="http://schemas.openxmlformats.org/officeDocument/2006/relationships/hyperlink" Target="https://www.facebook.com/fortinet/" TargetMode="External"/><Relationship Id="rId12" Type="http://schemas.openxmlformats.org/officeDocument/2006/relationships/hyperlink" Target="https://www.youtube.com/channel/UCJHo4AuVomwMRzgkA5DQEOA?sub_confirmation=1" TargetMode="External"/><Relationship Id="rId13" Type="http://schemas.openxmlformats.org/officeDocument/2006/relationships/hyperlink" Target="https://www.instagram.com/fortinet/" TargetMode="External"/><Relationship Id="rId14" Type="http://schemas.openxmlformats.org/officeDocument/2006/relationships/hyperlink" Target="https://www.fortinet.com/blog?utm_source=blog&amp;utm_medium=blog&amp;utm_campaign=blog" TargetMode="External"/><Relationship Id="rId15" Type="http://schemas.openxmlformats.org/officeDocument/2006/relationships/hyperlink" Target="https://www.globenewswire.com/Tracker?data=3ZN1f9xQbo_Vcl9FC7lRUziylTnQD_H8Wgw0LgiNABG18h6YofSmzWyF83iQxjzGr0YOzRbtH7GvWm8mhWkB1w==" TargetMode="External"/><Relationship Id="rId16"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17"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18"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 Id="rId19" Type="http://schemas.openxmlformats.org/officeDocument/2006/relationships/hyperlink" Target="http://www.fortinet.com/" TargetMode="External"/><Relationship Id="rId20" Type="http://schemas.openxmlformats.org/officeDocument/2006/relationships/hyperlink" Target="https://www.globenewswire.com/Tracker?data=3ZN1f9xQbo_Vcl9FC7lRU8UWh33yvVmOpZUoo2Rsm97Ks9X8ujEEGJ0QRz3Y9IaMjOue_vJ9g8c1YSrQhCN89ehZsIJK1nc8MSyUz16G4WIqBpHmEnBF5Jej1XsujCNH4PZgzf5Mm_56MjzpFkFFZY3oj46ZC3a62HV7dMAo74U=" TargetMode="External"/><Relationship Id="rId21" Type="http://schemas.openxmlformats.org/officeDocument/2006/relationships/hyperlink" Target="https://www.globenewswire.com/Tracker?data=3ZN1f9xQbo_Vcl9FC7lRU4aoptLCvUUmdyfmiJXtPtoXYFRdjfSVbjfxsrda2hpiXCexke6oUsCtDWqTItuCoOUYW0exXhF-_wPj9Pv6De4lYtNZkcir3gvsLghF_FgwNXW_hiakGhDWoWydEQoERqGjh59ZRCJEg51g6W6EKsMC2EVrF0lSrR_RDiHVxchn"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Relationship Id="rId30" Type="http://schemas.openxmlformats.org/officeDocument/2006/relationships/customXml" Target="../customXml/item2.xml"/><Relationship Id="rId31"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b3c0cda-7569-4400-9823-cd647202cc97">
      <Terms xmlns="http://schemas.microsoft.com/office/infopath/2007/PartnerControls"/>
    </lcf76f155ced4ddcb4097134ff3c332f>
    <_ip_UnifiedCompliancePolicyProperties xmlns="http://schemas.microsoft.com/sharepoint/v3" xsi:nil="true"/>
    <TaxCatchAll xmlns="b56d488a-a1ec-4050-9053-8cf6837c3a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C4CE8855EACB4D9145D398F74B44FD" ma:contentTypeVersion="20" ma:contentTypeDescription="Utwórz nowy dokument." ma:contentTypeScope="" ma:versionID="9f9fa5968bdfafd7f44e18bfec76978b">
  <xsd:schema xmlns:xsd="http://www.w3.org/2001/XMLSchema" xmlns:xs="http://www.w3.org/2001/XMLSchema" xmlns:p="http://schemas.microsoft.com/office/2006/metadata/properties" xmlns:ns1="http://schemas.microsoft.com/sharepoint/v3" xmlns:ns2="fb3c0cda-7569-4400-9823-cd647202cc97" xmlns:ns3="b56d488a-a1ec-4050-9053-8cf6837c3a19" targetNamespace="http://schemas.microsoft.com/office/2006/metadata/properties" ma:root="true" ma:fieldsID="ef2dabe83005a7424f47ba9537e7650f" ns1:_="" ns2:_="" ns3:_="">
    <xsd:import namespace="http://schemas.microsoft.com/sharepoint/v3"/>
    <xsd:import namespace="fb3c0cda-7569-4400-9823-cd647202cc97"/>
    <xsd:import namespace="b56d488a-a1ec-4050-9053-8cf6837c3a1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c0cda-7569-4400-9823-cd647202c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0421c0d-218e-4a6c-a7e0-f38f9e32bf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6d488a-a1ec-4050-9053-8cf6837c3a19"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a1616fe-60e7-400a-be2d-0fbd4226e5e6}" ma:internalName="TaxCatchAll" ma:showField="CatchAllData" ma:web="b56d488a-a1ec-4050-9053-8cf6837c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EBDC1-DBAC-4DED-8234-C03E70D0977E}">
  <ds:schemaRefs>
    <ds:schemaRef ds:uri="http://schemas.microsoft.com/office/2006/metadata/properties"/>
    <ds:schemaRef ds:uri="http://schemas.microsoft.com/office/infopath/2007/PartnerControls"/>
    <ds:schemaRef ds:uri="http://schemas.microsoft.com/sharepoint/v3"/>
    <ds:schemaRef ds:uri="fb3c0cda-7569-4400-9823-cd647202cc97"/>
    <ds:schemaRef ds:uri="b56d488a-a1ec-4050-9053-8cf6837c3a19"/>
  </ds:schemaRefs>
</ds:datastoreItem>
</file>

<file path=customXml/itemProps2.xml><?xml version="1.0" encoding="utf-8"?>
<ds:datastoreItem xmlns:ds="http://schemas.openxmlformats.org/officeDocument/2006/customXml" ds:itemID="{4377F9EB-5FDF-4C04-9FA5-7C34B88F0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3c0cda-7569-4400-9823-cd647202cc97"/>
    <ds:schemaRef ds:uri="b56d488a-a1ec-4050-9053-8cf6837c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3DEC8-D6E4-49F0-B396-11F77ADD5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LibreOffice/25.8.6.2$Windows_X86_64 LibreOffice_project/b4b39682cd9868fa725bc664aff94278d315bd04</Application>
  <AppVersion>15.0000</AppVersion>
  <Pages>5</Pages>
  <Words>1577</Words>
  <Characters>11457</Characters>
  <CharactersWithSpaces>12888</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2026-05-25T12:13:00Z</dcterms:created>
  <dc:creator>Agnieszka Mrozowska</dc:creator>
  <dc:description/>
  <dc:language>pl-PL</dc:language>
  <cp:lastModifiedBy/>
  <dcterms:modified xsi:type="dcterms:W3CDTF">2026-05-27T12:00:01Z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0x0101001EC4CE8855EACB4D9145D398F74B44FD</vt:lpwstr>
  </property>
  <property fmtid="{D5CDD505-2E9C-101B-9397-08002B2CF9AE}" pid="3" name="MediaServiceImageTags">
    <vt:lpwstr/>
  </property>
</Properties>
</file>