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lang w:val="pl-PL"/>
        </w:rPr>
      </w:pPr>
      <w:bookmarkStart w:id="0" w:name="c7k65fygl0gs"/>
      <w:bookmarkEnd w:id="0"/>
      <w:r>
        <w:rPr>
          <w:b/>
          <w:bCs/>
          <w:sz w:val="28"/>
          <w:szCs w:val="28"/>
          <w:lang w:val="pl-PL"/>
        </w:rPr>
        <w:t>Firma Fortinet pogłębia integrację z NVIDIA, aby zapewnić przedsiębiorstwom skalowalną ochronę środowisk sztucznej inteligencji</w:t>
      </w:r>
    </w:p>
    <w:p>
      <w:pPr>
        <w:pStyle w:val="Normal"/>
        <w:jc w:val="center"/>
        <w:rPr>
          <w:b/>
          <w:lang w:val="pl-PL"/>
        </w:rPr>
      </w:pPr>
      <w:r>
        <w:rPr>
          <w:b/>
          <w:bCs/>
          <w:lang w:val="pl-PL"/>
        </w:rPr>
        <w:t xml:space="preserve"> </w:t>
      </w:r>
    </w:p>
    <w:p>
      <w:pPr>
        <w:pStyle w:val="Normal"/>
        <w:jc w:val="center"/>
        <w:rPr>
          <w:i/>
          <w:lang w:val="pl-PL"/>
        </w:rPr>
      </w:pPr>
      <w:r>
        <w:rPr>
          <w:i/>
          <w:lang w:val="pl-PL"/>
        </w:rPr>
        <w:t>Integracja FortiAIGate z platformami NVIDIA umożliwia tworzenie środowisk sztucznej inteligencji bazujących na modelu zerowego zaufania, wyposażonych w wysokowydajne, akcelerowane przez GPU zabezpieczenia, dostępne niezależnie od modelu wdrożenia</w:t>
      </w:r>
    </w:p>
    <w:p>
      <w:pPr>
        <w:pStyle w:val="Normal"/>
        <w:jc w:val="center"/>
        <w:rPr>
          <w:i/>
          <w:lang w:val="pl-PL"/>
        </w:rPr>
      </w:pPr>
      <w:r>
        <w:rPr>
          <w:i/>
          <w:iCs/>
          <w:lang w:val="pl-PL"/>
        </w:rPr>
        <w:t xml:space="preserve"> </w:t>
      </w:r>
    </w:p>
    <w:p>
      <w:pPr>
        <w:pStyle w:val="Normal"/>
        <w:spacing w:before="0" w:after="240"/>
        <w:jc w:val="both"/>
        <w:rPr>
          <w:lang w:val="pl-PL"/>
        </w:rPr>
      </w:pPr>
      <w:r>
        <w:rPr>
          <w:b/>
          <w:lang w:val="pl-PL"/>
        </w:rPr>
        <w:t xml:space="preserve">[Warszawa, 17.06.2026] </w:t>
      </w:r>
      <w:r>
        <w:rPr>
          <w:lang w:val="pl-PL"/>
        </w:rPr>
        <w:t xml:space="preserve">Fortinet, światowy lider w dziedzinie cyberbezpieczeństwa, który zapewnia konwergencję sieci i rozwiązań ochronnych, rozszerzył możliwości rozwiązania FortiAIGate dzięki integracji z platformami sztucznej inteligencji oraz oprogramowaniem firmy NVIDIA. Stworzone wspólnie rozwiązanie chroni w czasie rzeczywistym aplikacje AI, dane oraz autonomiczne agenty – zarówno w centrach danych, jak i w chmurze. Pozwala ono firmom monitorować wykorzystanie sztucznej inteligencji oraz bezpiecznie budować, wdrażać i skalować systemy agentowej AI bez pogarszania wydajności i ryzyka wystąpienia niezgodności z regulacjami. Dzięki pracy w modelu inline (umieszczenie rozwiązania bezpośrednio pomiędzy aplikacjami a modelami AI) system ten zapewnia pełną widoczność ruchu przy jednoczesnym spełnieniu wymogów dotyczących suwerenności danych i minimalnych opóźnieniach. </w:t>
      </w:r>
    </w:p>
    <w:p>
      <w:pPr>
        <w:pStyle w:val="Normal"/>
        <w:spacing w:before="0" w:after="240"/>
        <w:jc w:val="both"/>
        <w:rPr>
          <w:lang w:val="pl-PL"/>
        </w:rPr>
      </w:pPr>
      <w:r>
        <w:rPr>
          <w:lang w:val="pl-PL"/>
        </w:rPr>
        <w:t xml:space="preserve">– </w:t>
      </w:r>
      <w:r>
        <w:rPr>
          <w:i/>
          <w:iCs/>
          <w:lang w:val="pl-PL"/>
        </w:rPr>
        <w:t>Przedsiębiorstwa na całym świecie intensywnie wdrażają sztuczną inteligencję, a bezpieczeństwo staje się kluczowym czynnikiem, który wpływa na ten rozwój</w:t>
      </w:r>
      <w:r>
        <w:rPr>
          <w:lang w:val="pl-PL"/>
        </w:rPr>
        <w:t xml:space="preserve"> – mówi John Whittle, Chief Operating Officer w Fortinet. – </w:t>
      </w:r>
      <w:r>
        <w:rPr>
          <w:i/>
          <w:iCs/>
          <w:lang w:val="pl-PL"/>
        </w:rPr>
        <w:t>Wspólnie z firmą NVIDIA dostarczamy rozwiązanie, które pozwala zabezpieczać i optymalizować środowiska AI, utrzymywać wysoką wydajność, kontrolować koszty oraz spełniać wymagania dotyczące suwerenności danych. FortiAIGate łączy wykorzystującą mechanizmy sztucznej inteligencji platformę Fortinet Security Fabric z wysokowydajną infrastrukturą obliczeniową NVIDIA i fabrykami AI w celu blokowania zagrożeń – od złośliwych promptów po wycieki danych – bez zakłócania pracy systemów AI.</w:t>
      </w:r>
    </w:p>
    <w:p>
      <w:pPr>
        <w:pStyle w:val="Normal"/>
        <w:spacing w:before="0" w:after="240"/>
        <w:jc w:val="both"/>
        <w:rPr>
          <w:lang w:val="pl-PL"/>
        </w:rPr>
      </w:pPr>
      <w:r>
        <w:rPr>
          <w:color w:val="000000"/>
          <w:lang w:val="pl-PL"/>
        </w:rPr>
        <w:t xml:space="preserve">– </w:t>
      </w:r>
      <w:r>
        <w:rPr>
          <w:i/>
          <w:iCs/>
          <w:color w:val="000000"/>
          <w:lang w:val="pl-PL"/>
        </w:rPr>
        <w:t>Dynamiczny rozwój autonomicznych agentów AI powoduje bezprecedensowy wzrost zapotrzebowania na bezpieczne i wydajne platformy obliczeniowe dla przedsiębiorstw</w:t>
      </w:r>
      <w:r>
        <w:rPr>
          <w:color w:val="000000"/>
          <w:lang w:val="pl-PL"/>
        </w:rPr>
        <w:t xml:space="preserve"> – mówi Justin Boitano, Vice President, Enterprise AI Platforms w NVIDIA. – </w:t>
      </w:r>
      <w:r>
        <w:rPr>
          <w:i/>
          <w:iCs/>
          <w:color w:val="000000"/>
          <w:lang w:val="pl-PL"/>
        </w:rPr>
        <w:t>Integracja FortiAIGate z pełnym portfolio rozwiązań składających się na platformę NVIDIA AI umożliwia firmie Fortinet wdrażanie zabezpieczeń wykorzystujących mechanizmy zerowego zaufania oraz sprawowanie nadzoru w czasie rzeczywistym, co pozwala szybciej reagować na zagrożenia. Przez to też ogranicza ekspozycję na nie.</w:t>
      </w:r>
      <w:r>
        <w:rPr>
          <w:lang w:val="pl-PL"/>
        </w:rPr>
        <w:t xml:space="preserve"> </w:t>
      </w:r>
    </w:p>
    <w:p>
      <w:pPr>
        <w:pStyle w:val="Normal"/>
        <w:spacing w:before="0" w:after="240"/>
        <w:jc w:val="both"/>
        <w:rPr>
          <w:b/>
          <w:lang w:val="pl-PL"/>
        </w:rPr>
      </w:pPr>
      <w:r>
        <w:rPr>
          <w:b/>
          <w:lang w:val="pl-PL"/>
        </w:rPr>
        <w:t>Korzyści biznesowe zapewniane przez FortiAIGate dla firm wykorzystujących w swojej działalności mechanizmy sztucznej inteligencji:</w:t>
      </w:r>
    </w:p>
    <w:p>
      <w:pPr>
        <w:pStyle w:val="Normal"/>
        <w:numPr>
          <w:ilvl w:val="0"/>
          <w:numId w:val="1"/>
        </w:numPr>
        <w:jc w:val="both"/>
        <w:rPr>
          <w:lang w:val="pl-PL"/>
        </w:rPr>
      </w:pPr>
      <w:r>
        <w:rPr>
          <w:b/>
          <w:bCs/>
          <w:lang w:val="pl-PL"/>
        </w:rPr>
        <w:t>Przyspieszone i bezpieczne środowisko pracy AI:</w:t>
      </w:r>
      <w:r>
        <w:rPr>
          <w:lang w:val="pl-PL"/>
        </w:rPr>
        <w:t xml:space="preserve"> FortiAIGate zapewnia bezpieczny fundament do szybkiego wdrażania aplikacji bazujących na sztucznej inteligencji i autonomicznych agentów. Rozwiązanie stosuje mechanizmy ochronne dla dużych modeli językowych (LLM) podczas ich działania (runtime), a także zabezpiecza cały ekosystem, w tym serwery MCP i agenty AI. Dzięki wykorzystaniu procesorów graficznych </w:t>
      </w:r>
      <w:hyperlink r:id="rId2">
        <w:r>
          <w:rPr>
            <w:rStyle w:val="Hyperlink"/>
            <w:lang w:val="pl-PL"/>
          </w:rPr>
          <w:t>NVIDIA Blackwell</w:t>
        </w:r>
      </w:hyperlink>
      <w:r>
        <w:rPr>
          <w:lang w:val="pl-PL"/>
        </w:rPr>
        <w:t xml:space="preserve">, </w:t>
      </w:r>
      <w:hyperlink r:id="rId3">
        <w:r>
          <w:rPr>
            <w:rStyle w:val="Hyperlink"/>
            <w:lang w:val="pl-PL"/>
          </w:rPr>
          <w:t>NVIDIA Hopper</w:t>
        </w:r>
      </w:hyperlink>
      <w:r>
        <w:rPr>
          <w:lang w:val="pl-PL"/>
        </w:rPr>
        <w:t xml:space="preserve"> oraz najnowszego frameworka </w:t>
      </w:r>
      <w:hyperlink r:id="rId4">
        <w:r>
          <w:rPr>
            <w:rStyle w:val="Hyperlink"/>
            <w:lang w:val="pl-PL"/>
          </w:rPr>
          <w:t>NVIDIA Dynamo</w:t>
        </w:r>
      </w:hyperlink>
      <w:r>
        <w:rPr>
          <w:lang w:val="pl-PL"/>
        </w:rPr>
        <w:t>, bazującego na rozwiązaniach open source i przeznaczonego do rozproszonej obsługi inferencji, rozwiązanie działa z wysoką wydajnością, pozwalając firmom czerpać korzyści ze sztucznej inteligencji bez dodatkowych opóźnień, spowolnień czy pogorszenia jakości usług. Umożliwia to szybsze wdrażanie innowacji bazujących na AI przy jednoczesnym uwzględnieniu zabezpieczeń już na etapie projektowania rozwiązania, a nie dopiero jako dodatkowego elementu.</w:t>
      </w:r>
    </w:p>
    <w:p>
      <w:pPr>
        <w:pStyle w:val="Normal"/>
        <w:numPr>
          <w:ilvl w:val="0"/>
          <w:numId w:val="1"/>
        </w:numPr>
        <w:jc w:val="both"/>
        <w:rPr>
          <w:lang w:val="pl-PL"/>
        </w:rPr>
      </w:pPr>
      <w:r>
        <w:rPr>
          <w:b/>
          <w:bCs/>
          <w:lang w:val="pl-PL"/>
        </w:rPr>
        <w:t xml:space="preserve">Suwerenność AI: </w:t>
      </w:r>
      <w:r>
        <w:rPr>
          <w:lang w:val="pl-PL"/>
        </w:rPr>
        <w:t xml:space="preserve">Dzięki opcji implementacji FortiAIGate we własnej infrastrukturze hostingowej, przedsiębiorstwa mogą wdrażać aplikacje AI, zasilać je firmowymi danymi, rozwijać i nadzorować z wykorzystaniem swoich zespołów oraz z zachowaniem zgodności z lokalnymi regulacjami i wymaganiami bezpieczeństwa. Rozwiązanie wykorzystuje </w:t>
      </w:r>
      <w:hyperlink r:id="rId5">
        <w:r>
          <w:rPr>
            <w:rStyle w:val="Style"/>
            <w:color w:val="1155CC"/>
            <w:u w:val="single"/>
            <w:lang w:val="pl-PL"/>
          </w:rPr>
          <w:t>modele bezpieczeństwa NVIDIA Nemotron</w:t>
        </w:r>
      </w:hyperlink>
      <w:r>
        <w:rPr>
          <w:lang w:val="pl-PL"/>
        </w:rPr>
        <w:t xml:space="preserve"> i monitoruje interakcje użytkowników oraz urządzeń, zapisując rzeczywiste prompty i odpowiedzi związane z podejrzanymi incydentami. Ogranicza to uzależnienie od zagranicznych dostawców systemów sztucznej inteligencji i pomaga utrzymywać dane wykorzystywane do trenowania oraz inferencji w granicach kraju, zgodnie z regulacjami dotyczącymi prywatności, takimi jak RODO. Pozwala to chronić bezpieczeństwo narodowe i wspiera niezależność technologiczną.</w:t>
      </w:r>
    </w:p>
    <w:p>
      <w:pPr>
        <w:pStyle w:val="Normal"/>
        <w:numPr>
          <w:ilvl w:val="0"/>
          <w:numId w:val="1"/>
        </w:numPr>
        <w:jc w:val="both"/>
        <w:rPr>
          <w:lang w:val="pl-PL"/>
        </w:rPr>
      </w:pPr>
      <w:r>
        <w:rPr>
          <w:b/>
          <w:bCs/>
          <w:lang w:val="pl-PL"/>
        </w:rPr>
        <w:t xml:space="preserve">Środowiska sztucznej inteligencji z regułami zerowego zaufania: </w:t>
      </w:r>
      <w:r>
        <w:rPr>
          <w:lang w:val="pl-PL"/>
        </w:rPr>
        <w:t>FortiAIGate rozszerza możliwość stosowania reguł zerowego zaufania na środowiska AI, zapobiegając nadużyciom modeli LLM i wyciekom danych. Rozwiązanie zarządza całym ruchem do modeli AI oraz egzekwuje ścisłe reguły dla danych wejściowych i wyników działania modeli. Pozwala to blokować zagrożenia, takie jak ataki polegające na wstrzykiwaniu promptów (prompt injection), oraz filtrować toksyczne lub nieautoryzowane treści generowane przez AI. W ten sposób agenty AI działają zgodnie z zatwierdzonymi zasadami, a dane wrażliwe są zawsze chronione. FortiAIGate, dzięki rozumieniu kontekstu biznesowego modeli LLM, chroni integralność środowisk sztucznej inteligencji i zapewnia zgodność działań agentów AI z przyjętymi w firmie regułami dotyczącymi ochrony wrażliwych danych.</w:t>
      </w:r>
    </w:p>
    <w:p>
      <w:pPr>
        <w:pStyle w:val="Normal"/>
        <w:numPr>
          <w:ilvl w:val="0"/>
          <w:numId w:val="1"/>
        </w:numPr>
        <w:jc w:val="both"/>
        <w:rPr>
          <w:lang w:val="pl-PL"/>
        </w:rPr>
      </w:pPr>
      <w:r>
        <w:rPr>
          <w:b/>
          <w:bCs/>
          <w:lang w:val="pl-PL"/>
        </w:rPr>
        <w:t xml:space="preserve">Wyższa efektywność operacyjna i niższy całkowity koszt posiadania i eksploatacji (TCO): </w:t>
      </w:r>
      <w:r>
        <w:rPr>
          <w:lang w:val="pl-PL"/>
        </w:rPr>
        <w:t>FortiAIGate wykorzystuje infrastrukturę NVIDIA AI do zapewniania wysokiej wydajności zabezpieczeń środowisk sztucznej inteligencji, przy znacznie mniejszym zapotrzebowaniu na sprzęt i energię niż tradycyjne rozwiązania bazujące głównie na CPU. Dzięki temu firmy mogą chronić aplikacje AI z niskimi opóźnieniami bez pogarszania ich wydajności, jednocześnie zmniejszając obciążenie serwerów i zużycie energii. Przekłada się to na lepszą efektywność kosztową i wyższy zwrot z inwestycji w projekty AI, ponieważ mechanizmy bezpieczeństwa akcelerowane przez GPU odciążają procesory CPU przy obsłudze aplikacji biznesowych i znacząco ograniczają potrzebę rozbudowy infrastruktury sprzętowej.</w:t>
      </w:r>
    </w:p>
    <w:p>
      <w:pPr>
        <w:pStyle w:val="Normal"/>
        <w:numPr>
          <w:ilvl w:val="0"/>
          <w:numId w:val="1"/>
        </w:numPr>
        <w:spacing w:before="0" w:after="240"/>
        <w:jc w:val="both"/>
        <w:rPr>
          <w:lang w:val="pl-PL"/>
        </w:rPr>
      </w:pPr>
      <w:r>
        <w:rPr>
          <w:b/>
          <w:bCs/>
          <w:lang w:val="pl-PL"/>
        </w:rPr>
        <w:t xml:space="preserve">Skalowalna ochrona środowisk wieloinstancyjnych: </w:t>
      </w:r>
      <w:r>
        <w:rPr>
          <w:lang w:val="pl-PL"/>
        </w:rPr>
        <w:t xml:space="preserve">FortiAIGate został zaprojektowany z myślą o skalowalnych wdrożeniach AI i środowiskach wieloinstancyjnych (multitenant) wykorzystywanych przez przedsiębiorstwa i centra danych AI. Rozwiązanie stosuje mechanizmy wirtualizacji NVIDIA do bezpiecznego separowania zasobów i izolowania różnych aplikacji AI lub zbiorów danych klientów obecnych we wspólnej infrastrukturze. Technologie, takie jak </w:t>
      </w:r>
      <w:hyperlink r:id="rId6">
        <w:r>
          <w:rPr>
            <w:rStyle w:val="Style"/>
            <w:color w:val="1155CC"/>
            <w:u w:val="single"/>
            <w:lang w:val="pl-PL"/>
          </w:rPr>
          <w:t>NVIDIA</w:t>
        </w:r>
      </w:hyperlink>
      <w:hyperlink r:id="rId7">
        <w:r>
          <w:rPr>
            <w:rStyle w:val="Style"/>
            <w:color w:val="1155CC"/>
            <w:u w:val="single"/>
            <w:lang w:val="pl-PL"/>
          </w:rPr>
          <w:t xml:space="preserve"> Multi-Instance GPU</w:t>
        </w:r>
      </w:hyperlink>
      <w:r>
        <w:rPr>
          <w:lang w:val="pl-PL"/>
        </w:rPr>
        <w:t xml:space="preserve"> pozwalają „podzielić” pojedynczy fizyczny GPU na wiele niezależnych instancji z gwarantowaną jakością usług i izolacją skutków awarii, dzięki czemu praca jednej usługi sztucznej inteligencji nie wpływa na wydajność innych.</w:t>
      </w:r>
    </w:p>
    <w:p>
      <w:pPr>
        <w:pStyle w:val="Normal"/>
        <w:jc w:val="both"/>
        <w:rPr>
          <w:b/>
          <w:lang w:val="pl-PL"/>
        </w:rPr>
      </w:pPr>
      <w:r>
        <w:rPr>
          <w:b/>
          <w:lang w:val="pl-PL"/>
        </w:rPr>
        <w:t>Elastyczne wdrożenie – od chmury po środowiska brzegowe</w:t>
      </w:r>
    </w:p>
    <w:p>
      <w:pPr>
        <w:pStyle w:val="Normal"/>
        <w:spacing w:before="0" w:after="240"/>
        <w:jc w:val="both"/>
        <w:rPr>
          <w:lang w:val="pl-PL"/>
        </w:rPr>
      </w:pPr>
      <w:r>
        <w:rPr>
          <w:lang w:val="pl-PL"/>
        </w:rPr>
        <w:t>FortiAIGate zapewnia pełną elastyczność – obsługuje wdrożenia w środowiskach lokalnych, chmurowych, hybrydowych i brzegowych. Rozwiązanie dostępne jest jako bazujące na GPU urządzenie dla centrów danych, ale można też skorzystać z niego w postaci maszyny wirtualnej lub kontenerów działających na systemach certyfikowanych przez NVIDIA. Niezależnie od formy wdrożenia, przedsiębiorstwa mają zapewniony spójny poziom ochrony i centralne zarządzanie. Umieszczenie rozwiązania bezpośrednio pomiędzy aplikacjami a modelami AI (architektura inline) ułatwia także spełnienie wymagań związanych z suwerennością danych.</w:t>
      </w:r>
    </w:p>
    <w:p>
      <w:pPr>
        <w:pStyle w:val="Normal"/>
        <w:jc w:val="both"/>
        <w:rPr>
          <w:b/>
          <w:lang w:val="pl-PL"/>
        </w:rPr>
      </w:pPr>
      <w:r>
        <w:rPr>
          <w:b/>
          <w:lang w:val="pl-PL"/>
        </w:rPr>
        <w:t>Nowy standard bezpieczeństwa środowisk AI</w:t>
      </w:r>
    </w:p>
    <w:p>
      <w:pPr>
        <w:pStyle w:val="Normal"/>
        <w:spacing w:before="0" w:after="240"/>
        <w:jc w:val="both"/>
        <w:rPr>
          <w:lang w:val="pl-PL"/>
        </w:rPr>
      </w:pPr>
      <w:r>
        <w:rPr>
          <w:lang w:val="pl-PL"/>
        </w:rPr>
        <w:t xml:space="preserve">Fortinet ustanawia nowy standard zabezpieczeń dla ekosystemów sztucznej inteligencji. Połączenie w FortiAIGate mechanizmów zerowego zaufania, wykrywania zagrożeń w czasie rzeczywistym oraz zabezpieczeń specyficznych dla AI umożliwi przedsiębiorstwom bezpieczne skalowanie wykorzystania sztucznej inteligencji – od zaawansowanej analityki po autonomicznych agentów – przy zachowaniu zgodności i bezpieczeństwa. Współpraca Fortinet i NVIDIA potwierdza również zaangażowanie obu firm w rozwój rozwiązań AI projektowanych zgodnie z zasadą secure-by-design. </w:t>
      </w:r>
    </w:p>
    <w:p>
      <w:pPr>
        <w:pStyle w:val="Normal"/>
        <w:shd w:val="clear" w:color="auto" w:fill="FFFFFF"/>
        <w:rPr>
          <w:b/>
          <w:color w:val="333333"/>
          <w:lang w:val="pl-PL"/>
        </w:rPr>
      </w:pPr>
      <w:r>
        <w:rPr>
          <w:b/>
          <w:color w:val="333333"/>
          <w:lang w:val="pl-PL"/>
        </w:rPr>
        <w:t>Dodatkowe zasoby</w:t>
      </w:r>
    </w:p>
    <w:p>
      <w:pPr>
        <w:pStyle w:val="ListParagraph"/>
        <w:numPr>
          <w:ilvl w:val="0"/>
          <w:numId w:val="2"/>
        </w:numPr>
        <w:spacing w:lineRule="auto" w:line="259" w:before="0" w:after="160"/>
        <w:contextualSpacing/>
        <w:jc w:val="both"/>
        <w:rPr>
          <w:lang w:val="pl-PL"/>
        </w:rPr>
      </w:pPr>
      <w:r>
        <w:rPr>
          <w:lang w:val="pl-PL"/>
        </w:rPr>
        <w:t xml:space="preserve">Więcej informacji o  </w:t>
      </w:r>
      <w:hyperlink r:id="rId8">
        <w:r>
          <w:rPr>
            <w:rStyle w:val="Hyperlink"/>
            <w:lang w:val="pl-PL"/>
          </w:rPr>
          <w:t>FortiAIGate</w:t>
        </w:r>
      </w:hyperlink>
      <w:r>
        <w:rPr>
          <w:lang w:val="pl-PL"/>
        </w:rPr>
        <w:t xml:space="preserve"> oraz ochronie środowisk AI wdrażanych w chmurze.</w:t>
      </w:r>
    </w:p>
    <w:p>
      <w:pPr>
        <w:pStyle w:val="ListParagraph"/>
        <w:numPr>
          <w:ilvl w:val="0"/>
          <w:numId w:val="2"/>
        </w:numPr>
        <w:spacing w:lineRule="auto" w:line="259" w:before="0" w:after="160"/>
        <w:contextualSpacing/>
        <w:jc w:val="both"/>
        <w:rPr>
          <w:lang w:val="pl-PL"/>
        </w:rPr>
      </w:pPr>
      <w:r>
        <w:rPr>
          <w:lang w:val="pl-PL"/>
        </w:rPr>
        <w:t xml:space="preserve">Więcej informacji o platformie </w:t>
      </w:r>
      <w:hyperlink r:id="rId9">
        <w:r>
          <w:rPr>
            <w:rStyle w:val="Hyperlink"/>
            <w:lang w:val="pl-PL"/>
          </w:rPr>
          <w:t>Fortinet Security Fabric</w:t>
        </w:r>
      </w:hyperlink>
      <w:r>
        <w:rPr>
          <w:lang w:val="pl-PL"/>
        </w:rPr>
        <w:t xml:space="preserve">. </w:t>
      </w:r>
    </w:p>
    <w:p>
      <w:pPr>
        <w:pStyle w:val="ListParagraph"/>
        <w:numPr>
          <w:ilvl w:val="0"/>
          <w:numId w:val="2"/>
        </w:numPr>
        <w:spacing w:lineRule="auto" w:line="259" w:before="0" w:after="160"/>
        <w:contextualSpacing/>
        <w:jc w:val="both"/>
        <w:rPr>
          <w:lang w:val="pl-PL"/>
        </w:rPr>
      </w:pPr>
      <w:r>
        <w:rPr>
          <w:lang w:val="pl-PL"/>
        </w:rPr>
        <w:t xml:space="preserve">Więcej informacji o </w:t>
      </w:r>
      <w:hyperlink r:id="rId10">
        <w:r>
          <w:rPr>
            <w:rStyle w:val="Hyperlink"/>
            <w:lang w:val="pl-PL"/>
          </w:rPr>
          <w:t>otwartym ekosystemie</w:t>
        </w:r>
      </w:hyperlink>
      <w:r>
        <w:rPr>
          <w:lang w:val="pl-PL"/>
        </w:rPr>
        <w:t xml:space="preserve"> Fortinet.</w:t>
      </w:r>
    </w:p>
    <w:p>
      <w:pPr>
        <w:pStyle w:val="ListParagraph"/>
        <w:numPr>
          <w:ilvl w:val="0"/>
          <w:numId w:val="2"/>
        </w:numPr>
        <w:jc w:val="both"/>
        <w:rPr>
          <w:color w:themeColor="text1" w:val="000000"/>
          <w:lang w:val="pl-PL"/>
        </w:rPr>
      </w:pPr>
      <w:r>
        <w:rPr>
          <w:lang w:val="pl-PL"/>
        </w:rPr>
        <w:t>Na stronie </w:t>
      </w:r>
      <w:hyperlink r:id="rId11">
        <w:r>
          <w:rPr>
            <w:rStyle w:val="Hyperlink"/>
            <w:lang w:val="pl-PL"/>
          </w:rPr>
          <w:t>fortinet.com/trust</w:t>
        </w:r>
      </w:hyperlink>
      <w:r>
        <w:rPr>
          <w:lang w:val="pl-PL"/>
        </w:rPr>
        <w:t> dostępne są informacje o innowacjach Fortinet, współpracy z partnerami, procesach zabezpieczania produktów oraz rozwiązaniach klasy korporacyjnej.</w:t>
      </w:r>
    </w:p>
    <w:p>
      <w:pPr>
        <w:pStyle w:val="ListParagraph"/>
        <w:numPr>
          <w:ilvl w:val="0"/>
          <w:numId w:val="2"/>
        </w:numPr>
        <w:jc w:val="both"/>
        <w:rPr>
          <w:lang w:val="pl-PL"/>
        </w:rPr>
      </w:pPr>
      <w:r>
        <w:rPr>
          <w:lang w:val="pl-PL"/>
        </w:rPr>
        <w:t xml:space="preserve">Więcej informacji o tym, jak </w:t>
      </w:r>
      <w:hyperlink r:id="rId12">
        <w:r>
          <w:rPr>
            <w:rStyle w:val="Hyperlink"/>
            <w:lang w:val="pl-PL"/>
          </w:rPr>
          <w:t>klienci firmy Fortinet</w:t>
        </w:r>
      </w:hyperlink>
      <w:r>
        <w:rPr>
          <w:lang w:val="pl-PL"/>
        </w:rPr>
        <w:t xml:space="preserve"> zabezpieczają swoje przedsiębiorstwa.</w:t>
      </w:r>
    </w:p>
    <w:p>
      <w:pPr>
        <w:pStyle w:val="ListParagraph"/>
        <w:numPr>
          <w:ilvl w:val="0"/>
          <w:numId w:val="2"/>
        </w:numPr>
        <w:spacing w:lineRule="auto" w:line="278"/>
        <w:jc w:val="both"/>
        <w:rPr>
          <w:color w:themeColor="text1" w:val="000000"/>
          <w:lang w:val="pl-PL"/>
        </w:rPr>
      </w:pPr>
      <w:r>
        <w:rPr>
          <w:lang w:val="pl-PL"/>
        </w:rPr>
        <w:t xml:space="preserve">Więcej informacji o </w:t>
      </w:r>
      <w:hyperlink r:id="rId13">
        <w:r>
          <w:rPr>
            <w:rStyle w:val="Hyperlink"/>
            <w:lang w:val="pl-PL"/>
          </w:rPr>
          <w:t>zaangażowaniu firmy Fortinet w bezpieczeństwo i integralność produktów</w:t>
        </w:r>
      </w:hyperlink>
      <w:r>
        <w:rPr>
          <w:lang w:val="pl-PL"/>
        </w:rPr>
        <w:t>, w tym o odpowiedzialnym rozwoju produktów oraz podejściu i zasadach ujawniania podatności.</w:t>
      </w:r>
    </w:p>
    <w:p>
      <w:pPr>
        <w:pStyle w:val="ListParagraph"/>
        <w:numPr>
          <w:ilvl w:val="0"/>
          <w:numId w:val="2"/>
        </w:numPr>
        <w:spacing w:lineRule="auto" w:line="240"/>
        <w:jc w:val="both"/>
        <w:rPr>
          <w:lang w:val="pl-PL" w:eastAsia="zh-TW"/>
        </w:rPr>
      </w:pPr>
      <w:r>
        <w:rPr>
          <w:lang w:val="pl-PL"/>
        </w:rPr>
        <w:t xml:space="preserve">Profile firmy Fortinet w mediach społecznościowych: </w:t>
      </w:r>
      <w:hyperlink r:id="rId14">
        <w:r>
          <w:rPr>
            <w:rStyle w:val="Hyperlink"/>
            <w:lang w:val="pl-PL"/>
          </w:rPr>
          <w:t>Twitter</w:t>
        </w:r>
      </w:hyperlink>
      <w:r>
        <w:rPr>
          <w:lang w:val="pl-PL"/>
        </w:rPr>
        <w:t xml:space="preserve">, </w:t>
      </w:r>
      <w:hyperlink r:id="rId15">
        <w:r>
          <w:rPr>
            <w:rStyle w:val="Hyperlink"/>
            <w:lang w:val="pl-PL"/>
          </w:rPr>
          <w:t>LinkedIn</w:t>
        </w:r>
      </w:hyperlink>
      <w:r>
        <w:rPr>
          <w:lang w:val="pl-PL"/>
        </w:rPr>
        <w:t xml:space="preserve">, </w:t>
      </w:r>
      <w:hyperlink r:id="rId16">
        <w:r>
          <w:rPr>
            <w:rStyle w:val="Hyperlink"/>
            <w:lang w:val="pl-PL"/>
          </w:rPr>
          <w:t>Facebook</w:t>
        </w:r>
      </w:hyperlink>
      <w:r>
        <w:rPr>
          <w:lang w:val="pl-PL"/>
        </w:rPr>
        <w:t xml:space="preserve">, </w:t>
      </w:r>
      <w:hyperlink r:id="rId17">
        <w:r>
          <w:rPr>
            <w:rStyle w:val="Hyperlink"/>
            <w:lang w:val="pl-PL"/>
          </w:rPr>
          <w:t>YouTube</w:t>
        </w:r>
      </w:hyperlink>
      <w:r>
        <w:rPr>
          <w:lang w:val="pl-PL"/>
        </w:rPr>
        <w:t xml:space="preserve"> oraz </w:t>
      </w:r>
      <w:hyperlink r:id="rId18">
        <w:r>
          <w:rPr>
            <w:rStyle w:val="Hyperlink"/>
            <w:lang w:val="pl-PL"/>
          </w:rPr>
          <w:t>Instagram</w:t>
        </w:r>
      </w:hyperlink>
      <w:r>
        <w:rPr>
          <w:lang w:val="pl-PL" w:eastAsia="zh-TW"/>
        </w:rPr>
        <w:t xml:space="preserve">. Dodatkowe informacje dostępne są także na </w:t>
      </w:r>
      <w:hyperlink r:id="rId19">
        <w:r>
          <w:rPr>
            <w:rStyle w:val="Hyperlink"/>
            <w:lang w:val="pl-PL" w:eastAsia="zh-TW"/>
          </w:rPr>
          <w:t>blogu</w:t>
        </w:r>
      </w:hyperlink>
      <w:r>
        <w:rPr>
          <w:lang w:val="pl-PL" w:eastAsia="zh-TW"/>
        </w:rPr>
        <w:t>.</w:t>
      </w:r>
    </w:p>
    <w:p>
      <w:pPr>
        <w:pStyle w:val="Normal"/>
        <w:rPr>
          <w:lang w:val="pl-PL"/>
        </w:rPr>
      </w:pPr>
      <w:r>
        <w:rPr>
          <w:lang w:val="pl-PL"/>
        </w:rPr>
        <w:t xml:space="preserve"> </w:t>
      </w:r>
    </w:p>
    <w:p>
      <w:pPr>
        <w:pStyle w:val="Normal"/>
        <w:ind w:start="360"/>
        <w:jc w:val="center"/>
        <w:rPr>
          <w:sz w:val="20"/>
          <w:szCs w:val="20"/>
          <w:lang w:val="pl-PL"/>
        </w:rPr>
      </w:pPr>
      <w:r>
        <w:rPr>
          <w:sz w:val="20"/>
          <w:szCs w:val="20"/>
          <w:lang w:val="pl-PL"/>
        </w:rPr>
        <w:t>***</w:t>
      </w:r>
    </w:p>
    <w:p>
      <w:pPr>
        <w:pStyle w:val="Normal"/>
        <w:pBdr/>
        <w:shd w:val="clear" w:color="auto" w:fill="FFFFFF" w:themeFill="background1"/>
        <w:jc w:val="both"/>
        <w:rPr>
          <w:color w:themeColor="text1" w:val="000000"/>
          <w:lang w:val="pl-PL"/>
        </w:rPr>
      </w:pPr>
      <w:r>
        <w:rPr>
          <w:b/>
          <w:bCs/>
          <w:color w:themeColor="text1" w:val="000000"/>
          <w:sz w:val="20"/>
          <w:szCs w:val="20"/>
          <w:lang w:val="pl-PL"/>
        </w:rPr>
        <w:t>O firmie Fortinet</w:t>
      </w:r>
      <w:r>
        <w:rPr>
          <w:color w:themeColor="text1" w:val="000000"/>
          <w:lang w:val="pl-PL"/>
        </w:rPr>
        <w:t> </w:t>
      </w:r>
    </w:p>
    <w:p>
      <w:pPr>
        <w:pStyle w:val="Normal"/>
        <w:pBdr/>
        <w:shd w:val="clear" w:color="auto" w:fill="FFFFFF" w:themeFill="background1"/>
        <w:spacing w:before="0" w:after="240"/>
        <w:jc w:val="both"/>
        <w:rPr>
          <w:rFonts w:eastAsia="Helvetica Neue"/>
          <w:sz w:val="16"/>
          <w:szCs w:val="16"/>
          <w:lang w:val="pl-PL"/>
        </w:rPr>
      </w:pPr>
      <w:hyperlink r:id="rId20" w:tgtFrame="_blank">
        <w:r>
          <w:rPr>
            <w:rStyle w:val="Hyperlink"/>
            <w:sz w:val="16"/>
            <w:szCs w:val="16"/>
            <w:lang w:val="pl-PL"/>
          </w:rPr>
          <w:t>Fortinet</w:t>
        </w:r>
      </w:hyperlink>
      <w:r>
        <w:rPr>
          <w:color w:themeColor="text1" w:val="000000"/>
          <w:sz w:val="16"/>
          <w:szCs w:val="16"/>
          <w:lang w:val="pl-PL"/>
        </w:rPr>
        <w:t xml:space="preserve"> jest jednym z liderów ewolucji branży cyberbezpieczeństwa oraz konwergencji sieci i zabezpieczeń. Naszą misją jest ochrona ludzi, urządzeń i danych, niezależnie od ich lokalizacji. Dzięki największemu zintegrowanemu portfolio ponad 50 produktów klasy korporacyjnej jesteśmy w stanie zapewnić cyfrowe bezpieczeństwo wszędzie tam, gdzie potrzebują go nasi klienci. Ponad pół miliona firm zaufało opatentowanym rozwiązaniom Fortinet, które są jednymi z najczęściej wdrażanych i sprawdzonych w branży. </w:t>
      </w:r>
      <w:hyperlink r:id="rId21" w:tgtFrame="_blank">
        <w:r>
          <w:rPr>
            <w:rStyle w:val="Hyperlink"/>
            <w:sz w:val="16"/>
            <w:szCs w:val="16"/>
            <w:lang w:val="pl-PL"/>
          </w:rPr>
          <w:t>Fortinet Training Institute</w:t>
        </w:r>
      </w:hyperlink>
      <w:r>
        <w:rPr>
          <w:color w:themeColor="text1" w:val="000000"/>
          <w:sz w:val="16"/>
          <w:szCs w:val="16"/>
          <w:lang w:val="pl-PL"/>
        </w:rPr>
        <w:t xml:space="preserve">, jeden z największych i najszerszych programów szkoleniowych w branży, ma na celu udostępnienie wszystkim szkoleń z zakresu cyberbezpieczeństwa oraz nowych możliwości kariery. Współpraca z </w:t>
      </w:r>
      <w:hyperlink r:id="rId22" w:tgtFrame="_blank">
        <w:r>
          <w:rPr>
            <w:rStyle w:val="Hyperlink"/>
            <w:sz w:val="16"/>
            <w:szCs w:val="16"/>
            <w:lang w:val="pl-PL"/>
          </w:rPr>
          <w:t>cenionymi organizacjami</w:t>
        </w:r>
      </w:hyperlink>
      <w:r>
        <w:rPr>
          <w:color w:themeColor="text1" w:val="000000"/>
          <w:sz w:val="16"/>
          <w:szCs w:val="16"/>
          <w:lang w:val="pl-PL"/>
        </w:rPr>
        <w:t xml:space="preserve"> zarówno z sektora publicznego, jak i prywatnego, w tym zespołami reagowania na incydenty komputerowe (Computer Emergency Response Teams, CERT), podmiotami rządowymi i środowiskiem akademickim, jest podstawowym aspektem zaangażowania firmy Fortinet w zwiększanie cyfrowej odporności na całym świecie. </w:t>
      </w:r>
      <w:hyperlink r:id="rId23" w:tgtFrame="_blank">
        <w:r>
          <w:rPr>
            <w:rStyle w:val="Hyperlink"/>
            <w:sz w:val="16"/>
            <w:szCs w:val="16"/>
            <w:lang w:val="pl-PL"/>
          </w:rPr>
          <w:t>FortiGuard Labs</w:t>
        </w:r>
      </w:hyperlink>
      <w:r>
        <w:rPr>
          <w:color w:themeColor="text1" w:val="000000"/>
          <w:sz w:val="16"/>
          <w:szCs w:val="16"/>
          <w:lang w:val="pl-PL"/>
        </w:rPr>
        <w:t xml:space="preserve">, elitarna jednostka Fortinet zajmująca się analizą zagrożeń i badaniami, opracowuje i wykorzystuje najnowocześniejsze techniki uczenia maszynowego oraz sztucznej inteligencji, aby zapewnić klientom terminową, konsekwentnie najwyżej ocenianą ochronę i analizę zagrożeń. Więcej informacji dostępnych jest na stronie </w:t>
      </w:r>
      <w:hyperlink r:id="rId24" w:tgtFrame="_blank">
        <w:r>
          <w:rPr>
            <w:rStyle w:val="Hyperlink"/>
            <w:sz w:val="16"/>
            <w:szCs w:val="16"/>
            <w:lang w:val="pl-PL"/>
          </w:rPr>
          <w:t>www.fortinet.com</w:t>
        </w:r>
      </w:hyperlink>
      <w:r>
        <w:rPr>
          <w:color w:themeColor="text1" w:val="000000"/>
          <w:sz w:val="16"/>
          <w:szCs w:val="16"/>
          <w:lang w:val="pl-PL"/>
        </w:rPr>
        <w:t xml:space="preserve">, </w:t>
      </w:r>
      <w:hyperlink r:id="rId25" w:tgtFrame="_blank">
        <w:r>
          <w:rPr>
            <w:rStyle w:val="Hyperlink"/>
            <w:sz w:val="16"/>
            <w:szCs w:val="16"/>
            <w:lang w:val="pl-PL"/>
          </w:rPr>
          <w:t>blogu Fortinet</w:t>
        </w:r>
      </w:hyperlink>
      <w:r>
        <w:rPr>
          <w:color w:themeColor="text1" w:val="000000"/>
          <w:sz w:val="16"/>
          <w:szCs w:val="16"/>
          <w:lang w:val="pl-PL"/>
        </w:rPr>
        <w:t xml:space="preserve"> oraz stronie </w:t>
      </w:r>
      <w:hyperlink r:id="rId26">
        <w:r>
          <w:rPr>
            <w:rStyle w:val="Style"/>
            <w:color w:val="467886"/>
            <w:sz w:val="16"/>
            <w:szCs w:val="16"/>
            <w:u w:val="single"/>
            <w:lang w:val="pl-PL"/>
          </w:rPr>
          <w:t>FortiGuard Labs</w:t>
        </w:r>
      </w:hyperlink>
      <w:r>
        <w:rPr>
          <w:sz w:val="16"/>
          <w:szCs w:val="16"/>
          <w:lang w:val="pl-PL"/>
        </w:rPr>
        <w:t>.</w:t>
      </w:r>
    </w:p>
    <w:p>
      <w:pPr>
        <w:pStyle w:val="Normal"/>
        <w:jc w:val="both"/>
        <w:rPr>
          <w:lang w:val="pl-PL"/>
        </w:rPr>
      </w:pPr>
      <w:r>
        <w:rPr>
          <w:rFonts w:eastAsia="Times New Roman"/>
          <w:i/>
          <w:iCs/>
          <w:color w:val="000000"/>
          <w:sz w:val="16"/>
          <w:szCs w:val="16"/>
        </w:rPr>
        <w:t xml:space="preserve">Copyright © 2026 Fortinet, Inc. All rights reserved. The symbols ® and ™ denote respectively federally registered trademarks and common law trademarks of Fortinet, Inc., its subsidiaries and affiliates. Fortinet’s trademarks include, but are not limited to, the following: Fortinet, the Fortinet logo, FortiGate, FortiOS, FortiGuard, FortiCare, FortiAnalyzer, FortiManager, FortiASIC, FortiClient, FortiCloud, FortiMail, FortiSandbox, FortiADC, FortiAI, FortiAIOps, FortiAgent, FortiAntenna, FortiAP, FortiAPCam, FortiAuthenticator, FortiCache, FortiCall, FortiCam, FortiCamera, FortiCarrier, FortiCASB, FortiCentral, FortiCNP, FortiConnect, FortiController, FortiConverter, FortiCSPM, FortiCWP, FortiDAST, FortiDB, FortiDDoS, FortiDeceptor, FortiDeploy, FortiDevSec, FortiDLP, FortiEdge, FortiEDR, FortiExplorer, FortiExtender, FortiFirewall, FortiFlex FortiFone, FortiGSLB, FortiGuest, FortiHypervisor, FortiInsight, FortiIsolator, FortiLAN, FortiLink, FortiMonitor, FortiNAC, FortiNDR, FortiPAM, FortiPenTest, FortiPhish, FortiPoint, FortiPolicy, FortiPortal, FortiPresence, FortiProxy, FortiRecon, FortiRecorder, FortiSASE, FortiScanner, FortiSDNConnector, FortiSIEM, FortiSMS, FortiSOAR, FortiSRA, FortiStack, FortiSwitch, FortiTester, FortiToken, FortiTrust, FortiVoice, FortiWAN, FortiWeb, FortiWiFi, FortiWLC, FortiWLM, FortiXDR and Lacework FortiCNAPP. </w:t>
      </w:r>
      <w:r>
        <w:rPr>
          <w:i/>
          <w:iCs/>
          <w:sz w:val="16"/>
          <w:szCs w:val="16"/>
          <w:lang w:val="pl-PL"/>
        </w:rPr>
        <w:t>Inne znaki towarowe należą do odpowiednich właścicieli. Firma Fortinet nie zweryfikowała niezależnie oświadczeń lub certyfikatów przypisanych stronom trzecim i nie promuje niezależnie takich oświadczeń. Niezależnie od jakichkolwiek przeciwnych stwierdzeń zawartych w niniejszym dokumencie, żadne z nich nie stanowi gwarancji, rękojmi, umowy, wiążącej specyfikacji ani innego wiążącego zobowiązania ze strony firmy Fortinet lub jakiegokolwiek wskazania zamiaru związanego z wiążącym zobowiązaniem, a informacje dotyczące wydajności i innych specyfikacji zawarte w niniejszym dokumencie mogą być unikalne dla niektórych środowisk.</w:t>
      </w:r>
    </w:p>
    <w:p>
      <w:pPr>
        <w:pStyle w:val="Normal"/>
        <w:rPr>
          <w:lang w:val="pl-PL"/>
        </w:rPr>
      </w:pPr>
      <w:r>
        <w:rPr>
          <w:lang w:val="pl-PL"/>
        </w:rPr>
      </w:r>
    </w:p>
    <w:sectPr>
      <w:headerReference w:type="even" r:id="rId27"/>
      <w:headerReference w:type="default" r:id="rId28"/>
      <w:headerReference w:type="first" r:id="rId29"/>
      <w:type w:val="nextPage"/>
      <w:pgSz w:w="12240" w:h="15840"/>
      <w:pgMar w:left="1440" w:right="1440" w:gutter="0" w:header="72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ptos">
    <w:charset w:val="ee" w:characterSet="windows-1250"/>
    <w:family w:val="roman"/>
    <w:pitch w:val="variable"/>
  </w:font>
  <w:font w:name="Arial">
    <w:charset w:val="ee" w:characterSet="windows-1250"/>
    <w:family w:val="swiss"/>
    <w:pitch w:val="variable"/>
  </w:font>
  <w:font w:name="Aptos Display">
    <w:charset w:val="ee" w:characterSet="windows-1250"/>
    <w:family w:val="swiss"/>
    <w:pitch w:val="variable"/>
  </w:font>
  <w:font w:name="Aptos Display">
    <w:charset w:val="ee" w:characterSet="windows-1250"/>
    <w:family w:val="roman"/>
    <w:pitch w:val="variable"/>
  </w:font>
  <w:font w:name="Liberation Sans">
    <w:altName w:val="Arial"/>
    <w:charset w:val="ee" w:characterSet="windows-1250"/>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114300" distR="0" simplePos="0" relativeHeight="5" behindDoc="1" locked="0" layoutInCell="0" allowOverlap="1">
          <wp:simplePos x="0" y="0"/>
          <wp:positionH relativeFrom="margin">
            <wp:align>right</wp:align>
          </wp:positionH>
          <wp:positionV relativeFrom="margin">
            <wp:posOffset>-514985</wp:posOffset>
          </wp:positionV>
          <wp:extent cx="1905000" cy="21907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905000" cy="21907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114300" distR="0" simplePos="0" relativeHeight="5" behindDoc="1" locked="0" layoutInCell="0" allowOverlap="1">
          <wp:simplePos x="0" y="0"/>
          <wp:positionH relativeFrom="margin">
            <wp:align>right</wp:align>
          </wp:positionH>
          <wp:positionV relativeFrom="margin">
            <wp:posOffset>-514985</wp:posOffset>
          </wp:positionV>
          <wp:extent cx="1905000" cy="219075"/>
          <wp:effectExtent l="0" t="0" r="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1"/>
                  <a:stretch>
                    <a:fillRect/>
                  </a:stretch>
                </pic:blipFill>
                <pic:spPr bwMode="auto">
                  <a:xfrm>
                    <a:off x="0" y="0"/>
                    <a:ext cx="1905000" cy="21907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Wingdings" w:hAnsi="Wingdings" w:cs="Wingdings" w:hint="default"/>
        <w:u w:val="none"/>
      </w:rPr>
    </w:lvl>
    <w:lvl w:ilvl="1">
      <w:start w:val="1"/>
      <w:numFmt w:val="bullet"/>
      <w:lvlText w:val=""/>
      <w:lvlJc w:val="start"/>
      <w:pPr>
        <w:tabs>
          <w:tab w:val="num" w:pos="0"/>
        </w:tabs>
        <w:ind w:start="1440" w:hanging="360"/>
      </w:pPr>
      <w:rPr>
        <w:rFonts w:ascii="Wingdings 2" w:hAnsi="Wingdings 2" w:cs="Wingdings 2" w:hint="default"/>
        <w:u w:val="none"/>
      </w:rPr>
    </w:lvl>
    <w:lvl w:ilvl="2">
      <w:start w:val="1"/>
      <w:numFmt w:val="bullet"/>
      <w:lvlText w:val="■"/>
      <w:lvlJc w:val="start"/>
      <w:pPr>
        <w:tabs>
          <w:tab w:val="num" w:pos="0"/>
        </w:tabs>
        <w:ind w:start="2160" w:hanging="360"/>
      </w:pPr>
      <w:rPr>
        <w:rFonts w:ascii="OpenSymbol" w:hAnsi="OpenSymbol" w:cs="OpenSymbol" w:hint="default"/>
        <w:u w:val="none"/>
      </w:rPr>
    </w:lvl>
    <w:lvl w:ilvl="3">
      <w:start w:val="1"/>
      <w:numFmt w:val="bullet"/>
      <w:lvlText w:val=""/>
      <w:lvlJc w:val="start"/>
      <w:pPr>
        <w:tabs>
          <w:tab w:val="num" w:pos="0"/>
        </w:tabs>
        <w:ind w:start="2880" w:hanging="360"/>
      </w:pPr>
      <w:rPr>
        <w:rFonts w:ascii="Wingdings" w:hAnsi="Wingdings" w:cs="Wingdings" w:hint="default"/>
        <w:u w:val="none"/>
      </w:rPr>
    </w:lvl>
    <w:lvl w:ilvl="4">
      <w:start w:val="1"/>
      <w:numFmt w:val="bullet"/>
      <w:lvlText w:val=""/>
      <w:lvlJc w:val="start"/>
      <w:pPr>
        <w:tabs>
          <w:tab w:val="num" w:pos="0"/>
        </w:tabs>
        <w:ind w:start="3600" w:hanging="360"/>
      </w:pPr>
      <w:rPr>
        <w:rFonts w:ascii="Wingdings 2" w:hAnsi="Wingdings 2" w:cs="Wingdings 2" w:hint="default"/>
        <w:u w:val="none"/>
      </w:rPr>
    </w:lvl>
    <w:lvl w:ilvl="5">
      <w:start w:val="1"/>
      <w:numFmt w:val="bullet"/>
      <w:lvlText w:val="■"/>
      <w:lvlJc w:val="start"/>
      <w:pPr>
        <w:tabs>
          <w:tab w:val="num" w:pos="0"/>
        </w:tabs>
        <w:ind w:start="4320" w:hanging="360"/>
      </w:pPr>
      <w:rPr>
        <w:rFonts w:ascii="OpenSymbol" w:hAnsi="OpenSymbol" w:cs="OpenSymbol" w:hint="default"/>
        <w:u w:val="none"/>
      </w:rPr>
    </w:lvl>
    <w:lvl w:ilvl="6">
      <w:start w:val="1"/>
      <w:numFmt w:val="bullet"/>
      <w:lvlText w:val=""/>
      <w:lvlJc w:val="start"/>
      <w:pPr>
        <w:tabs>
          <w:tab w:val="num" w:pos="0"/>
        </w:tabs>
        <w:ind w:start="5040" w:hanging="360"/>
      </w:pPr>
      <w:rPr>
        <w:rFonts w:ascii="Wingdings" w:hAnsi="Wingdings" w:cs="Wingdings" w:hint="default"/>
        <w:u w:val="none"/>
      </w:rPr>
    </w:lvl>
    <w:lvl w:ilvl="7">
      <w:start w:val="1"/>
      <w:numFmt w:val="bullet"/>
      <w:lvlText w:val=""/>
      <w:lvlJc w:val="start"/>
      <w:pPr>
        <w:tabs>
          <w:tab w:val="num" w:pos="0"/>
        </w:tabs>
        <w:ind w:start="5760" w:hanging="360"/>
      </w:pPr>
      <w:rPr>
        <w:rFonts w:ascii="Wingdings 2" w:hAnsi="Wingdings 2" w:cs="Wingdings 2" w:hint="default"/>
        <w:u w:val="none"/>
      </w:rPr>
    </w:lvl>
    <w:lvl w:ilvl="8">
      <w:start w:val="1"/>
      <w:numFmt w:val="bullet"/>
      <w:lvlText w:val="■"/>
      <w:lvlJc w:val="start"/>
      <w:pPr>
        <w:tabs>
          <w:tab w:val="num" w:pos="0"/>
        </w:tabs>
        <w:ind w:start="6480" w:hanging="360"/>
      </w:pPr>
      <w:rPr>
        <w:rFonts w:ascii="OpenSymbol" w:hAnsi="OpenSymbol" w:cs="OpenSymbol" w:hint="default"/>
        <w:u w:val="none"/>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7434"/>
    <w:pPr>
      <w:widowControl/>
      <w:bidi w:val="0"/>
      <w:spacing w:lineRule="auto" w:line="276" w:before="0" w:after="0"/>
      <w:jc w:val="start"/>
    </w:pPr>
    <w:rPr>
      <w:rFonts w:ascii="Arial" w:hAnsi="Arial" w:eastAsia="Arial" w:cs="Arial"/>
      <w:color w:val="auto"/>
      <w:kern w:val="0"/>
      <w:sz w:val="22"/>
      <w:szCs w:val="22"/>
      <w:lang w:val="en-US" w:eastAsia="en-US" w:bidi="ar-SA"/>
      <w14:ligatures w14:val="none"/>
    </w:rPr>
  </w:style>
  <w:style w:type="paragraph" w:styleId="Heading1">
    <w:name w:val="heading 1"/>
    <w:basedOn w:val="Normal"/>
    <w:next w:val="Normal"/>
    <w:link w:val="Nagwek1Znak"/>
    <w:uiPriority w:val="9"/>
    <w:qFormat/>
    <w:rsid w:val="00fb743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Nagwek2Znak"/>
    <w:uiPriority w:val="9"/>
    <w:semiHidden/>
    <w:unhideWhenUsed/>
    <w:qFormat/>
    <w:rsid w:val="00fb743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Nagwek3Znak"/>
    <w:uiPriority w:val="9"/>
    <w:semiHidden/>
    <w:unhideWhenUsed/>
    <w:qFormat/>
    <w:rsid w:val="00fb743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Nagwek4Znak"/>
    <w:uiPriority w:val="9"/>
    <w:semiHidden/>
    <w:unhideWhenUsed/>
    <w:qFormat/>
    <w:rsid w:val="00fb743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Nagwek5Znak"/>
    <w:uiPriority w:val="9"/>
    <w:semiHidden/>
    <w:unhideWhenUsed/>
    <w:qFormat/>
    <w:rsid w:val="00fb743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Nagwek6Znak"/>
    <w:uiPriority w:val="9"/>
    <w:semiHidden/>
    <w:unhideWhenUsed/>
    <w:qFormat/>
    <w:rsid w:val="00fb743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fb743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fb7434"/>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fb7434"/>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fb7434"/>
    <w:rPr>
      <w:rFonts w:ascii="Aptos Display" w:hAnsi="Aptos Display" w:eastAsia="" w:cs="" w:asciiTheme="majorHAnsi" w:cstheme="majorBidi" w:eastAsiaTheme="majorEastAsia" w:hAnsiTheme="majorHAnsi"/>
      <w:color w:themeColor="accent1" w:themeShade="bf" w:val="0F4761"/>
      <w:sz w:val="40"/>
      <w:szCs w:val="40"/>
    </w:rPr>
  </w:style>
  <w:style w:type="character" w:styleId="Nagwek2Znak" w:customStyle="1">
    <w:name w:val="Nagłówek 2 Znak"/>
    <w:basedOn w:val="DefaultParagraphFont"/>
    <w:uiPriority w:val="9"/>
    <w:semiHidden/>
    <w:qFormat/>
    <w:rsid w:val="00fb7434"/>
    <w:rPr>
      <w:rFonts w:ascii="Aptos Display" w:hAnsi="Aptos Display" w:eastAsia="" w:cs="" w:asciiTheme="majorHAnsi" w:cstheme="majorBidi" w:eastAsiaTheme="majorEastAsia" w:hAnsiTheme="majorHAnsi"/>
      <w:color w:themeColor="accent1" w:themeShade="bf" w:val="0F4761"/>
      <w:sz w:val="32"/>
      <w:szCs w:val="32"/>
    </w:rPr>
  </w:style>
  <w:style w:type="character" w:styleId="Nagwek3Znak" w:customStyle="1">
    <w:name w:val="Nagłówek 3 Znak"/>
    <w:basedOn w:val="DefaultParagraphFont"/>
    <w:uiPriority w:val="9"/>
    <w:semiHidden/>
    <w:qFormat/>
    <w:rsid w:val="00fb7434"/>
    <w:rPr>
      <w:rFonts w:eastAsia="" w:cs="" w:cstheme="majorBidi" w:eastAsiaTheme="majorEastAsia"/>
      <w:color w:themeColor="accent1" w:themeShade="bf" w:val="0F4761"/>
      <w:sz w:val="28"/>
      <w:szCs w:val="28"/>
    </w:rPr>
  </w:style>
  <w:style w:type="character" w:styleId="Nagwek4Znak" w:customStyle="1">
    <w:name w:val="Nagłówek 4 Znak"/>
    <w:basedOn w:val="DefaultParagraphFont"/>
    <w:uiPriority w:val="9"/>
    <w:semiHidden/>
    <w:qFormat/>
    <w:rsid w:val="00fb7434"/>
    <w:rPr>
      <w:rFonts w:eastAsia="" w:cs="" w:cstheme="majorBidi" w:eastAsiaTheme="majorEastAsia"/>
      <w:i/>
      <w:iCs/>
      <w:color w:themeColor="accent1" w:themeShade="bf" w:val="0F4761"/>
    </w:rPr>
  </w:style>
  <w:style w:type="character" w:styleId="Nagwek5Znak" w:customStyle="1">
    <w:name w:val="Nagłówek 5 Znak"/>
    <w:basedOn w:val="DefaultParagraphFont"/>
    <w:uiPriority w:val="9"/>
    <w:semiHidden/>
    <w:qFormat/>
    <w:rsid w:val="00fb7434"/>
    <w:rPr>
      <w:rFonts w:eastAsia="" w:cs="" w:cstheme="majorBidi" w:eastAsiaTheme="majorEastAsia"/>
      <w:color w:themeColor="accent1" w:themeShade="bf" w:val="0F4761"/>
    </w:rPr>
  </w:style>
  <w:style w:type="character" w:styleId="Nagwek6Znak" w:customStyle="1">
    <w:name w:val="Nagłówek 6 Znak"/>
    <w:basedOn w:val="DefaultParagraphFont"/>
    <w:uiPriority w:val="9"/>
    <w:semiHidden/>
    <w:qFormat/>
    <w:rsid w:val="00fb7434"/>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fb7434"/>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fb7434"/>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fb7434"/>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fb7434"/>
    <w:rPr>
      <w:rFonts w:ascii="Aptos Display" w:hAnsi="Aptos Display"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fb7434"/>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fb7434"/>
    <w:rPr>
      <w:i/>
      <w:iCs/>
      <w:color w:themeColor="text1" w:themeTint="bf" w:val="404040"/>
    </w:rPr>
  </w:style>
  <w:style w:type="character" w:styleId="IntenseEmphasis">
    <w:name w:val="Intense Emphasis"/>
    <w:basedOn w:val="DefaultParagraphFont"/>
    <w:uiPriority w:val="21"/>
    <w:qFormat/>
    <w:rsid w:val="00fb7434"/>
    <w:rPr>
      <w:i/>
      <w:iCs/>
      <w:color w:themeColor="accent1" w:themeShade="bf" w:val="0F4761"/>
    </w:rPr>
  </w:style>
  <w:style w:type="character" w:styleId="CytatintensywnyZnak" w:customStyle="1">
    <w:name w:val="Cytat intensywny Znak"/>
    <w:basedOn w:val="DefaultParagraphFont"/>
    <w:link w:val="IntenseQuote"/>
    <w:uiPriority w:val="30"/>
    <w:qFormat/>
    <w:rsid w:val="00fb7434"/>
    <w:rPr>
      <w:i/>
      <w:iCs/>
      <w:color w:themeColor="accent1" w:themeShade="bf" w:val="0F4761"/>
    </w:rPr>
  </w:style>
  <w:style w:type="character" w:styleId="IntenseReference">
    <w:name w:val="Intense Reference"/>
    <w:basedOn w:val="DefaultParagraphFont"/>
    <w:uiPriority w:val="32"/>
    <w:qFormat/>
    <w:rsid w:val="00fb7434"/>
    <w:rPr>
      <w:b/>
      <w:bCs/>
      <w:smallCaps/>
      <w:color w:themeColor="accent1" w:themeShade="bf" w:val="0F4761"/>
      <w:spacing w:val="5"/>
    </w:rPr>
  </w:style>
  <w:style w:type="character" w:styleId="Hyperlink">
    <w:name w:val="Hyperlink"/>
    <w:basedOn w:val="DefaultParagraphFont"/>
    <w:uiPriority w:val="99"/>
    <w:unhideWhenUsed/>
    <w:rsid w:val="00fb7434"/>
    <w:rPr>
      <w:color w:themeColor="hyperlink" w:val="467886"/>
      <w:u w:val="single"/>
    </w:rPr>
  </w:style>
  <w:style w:type="character" w:styleId="NagwekZnak" w:customStyle="1">
    <w:name w:val="Nagłówek Znak"/>
    <w:basedOn w:val="DefaultParagraphFont"/>
    <w:uiPriority w:val="99"/>
    <w:qFormat/>
    <w:rsid w:val="00fb7434"/>
    <w:rPr>
      <w:rFonts w:ascii="Arial" w:hAnsi="Arial" w:eastAsia="Arial" w:cs="Arial"/>
      <w:kern w:val="0"/>
      <w:sz w:val="22"/>
      <w:szCs w:val="22"/>
      <w:lang w:val="en-US"/>
      <w14:ligatures w14:val="non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itle">
    <w:name w:val="Title"/>
    <w:basedOn w:val="Normal"/>
    <w:next w:val="Normal"/>
    <w:link w:val="TytuZnak"/>
    <w:uiPriority w:val="10"/>
    <w:qFormat/>
    <w:rsid w:val="00fb7434"/>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fb743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fb7434"/>
    <w:pPr>
      <w:spacing w:before="160" w:after="0"/>
      <w:jc w:val="center"/>
    </w:pPr>
    <w:rPr>
      <w:i/>
      <w:iCs/>
      <w:color w:themeColor="text1" w:themeTint="bf" w:val="404040"/>
    </w:rPr>
  </w:style>
  <w:style w:type="paragraph" w:styleId="ListParagraph">
    <w:name w:val="List Paragraph"/>
    <w:basedOn w:val="Normal"/>
    <w:uiPriority w:val="34"/>
    <w:qFormat/>
    <w:rsid w:val="00fb7434"/>
    <w:pPr>
      <w:spacing w:before="0" w:after="0"/>
      <w:ind w:start="720"/>
      <w:contextualSpacing/>
    </w:pPr>
    <w:rPr/>
  </w:style>
  <w:style w:type="paragraph" w:styleId="IntenseQuote">
    <w:name w:val="Intense Quote"/>
    <w:basedOn w:val="Normal"/>
    <w:next w:val="Normal"/>
    <w:link w:val="CytatintensywnyZnak"/>
    <w:uiPriority w:val="30"/>
    <w:qFormat/>
    <w:rsid w:val="00fb7434"/>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Gwkaistopka">
    <w:name w:val="Główka i stopka"/>
    <w:basedOn w:val="Normal"/>
    <w:qFormat/>
    <w:pPr/>
    <w:rPr/>
  </w:style>
  <w:style w:type="paragraph" w:styleId="Header">
    <w:name w:val="header"/>
    <w:basedOn w:val="Normal"/>
    <w:link w:val="NagwekZnak"/>
    <w:uiPriority w:val="99"/>
    <w:unhideWhenUsed/>
    <w:rsid w:val="00fb7434"/>
    <w:pPr>
      <w:tabs>
        <w:tab w:val="clear" w:pos="708"/>
        <w:tab w:val="center" w:pos="4536" w:leader="none"/>
        <w:tab w:val="right" w:pos="9072" w:leader="none"/>
      </w:tabs>
      <w:spacing w:lineRule="auto" w:line="240"/>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vidia.com/en-us/data-center/technologies/blackwell-architecture/" TargetMode="External"/><Relationship Id="rId3" Type="http://schemas.openxmlformats.org/officeDocument/2006/relationships/hyperlink" Target="https://www.nvidia.com/en-us/data-center/technologies/hopper-architecture/" TargetMode="External"/><Relationship Id="rId4" Type="http://schemas.openxmlformats.org/officeDocument/2006/relationships/hyperlink" Target="https://www.nvidia.com/en-us/ai/dynamo/" TargetMode="External"/><Relationship Id="rId5" Type="http://schemas.openxmlformats.org/officeDocument/2006/relationships/hyperlink" Target="https://www.nvidia.com/en-us/ai-data-science/foundation-models/nemotron/" TargetMode="External"/><Relationship Id="rId6" Type="http://schemas.openxmlformats.org/officeDocument/2006/relationships/hyperlink" Target="https://www.nvidia.com/en-us/technologies/multi-instance-gpu/" TargetMode="External"/><Relationship Id="rId7" Type="http://schemas.openxmlformats.org/officeDocument/2006/relationships/hyperlink" Target="https://www.nvidia.com/en-us/technologies/multi-instance-gpu/" TargetMode="External"/><Relationship Id="rId8" Type="http://schemas.openxmlformats.org/officeDocument/2006/relationships/hyperlink" Target="https://www.fortinet.com/content/dam/fortinet/assets/solution-guides/sb-secure-ai-workloads-llms-fortiaigate.pdf" TargetMode="External"/><Relationship Id="rId9" Type="http://schemas.openxmlformats.org/officeDocument/2006/relationships/hyperlink" Target="https://fortinet.com/content/fortinet-com/en_us/solutions/enterprise-midsize-business/security-fabric.html" TargetMode="External"/><Relationship Id="rId10" Type="http://schemas.openxmlformats.org/officeDocument/2006/relationships/hyperlink" Target="https://fortinet.com/content/fortinet-com/en_us/partners/technology-alliances/alliances-ecosystem.html" TargetMode="External"/><Relationship Id="rId11" Type="http://schemas.openxmlformats.org/officeDocument/2006/relationships/hyperlink" Target="https://www.fortinet.com/trust" TargetMode="External"/><Relationship Id="rId12" Type="http://schemas.openxmlformats.org/officeDocument/2006/relationships/hyperlink" Target="https://www.fortinet.com/customers?utm_source=website&amp;utm_medium=pr&amp;utm_campaign=customers" TargetMode="External"/><Relationship Id="rId13" Type="http://schemas.openxmlformats.org/officeDocument/2006/relationships/hyperlink" Target="https://trust.fortinet.com/?itemName=infrastructure&amp;source=click" TargetMode="External"/><Relationship Id="rId14" Type="http://schemas.openxmlformats.org/officeDocument/2006/relationships/hyperlink" Target="https://twitter.com/Fortinet" TargetMode="External"/><Relationship Id="rId15" Type="http://schemas.openxmlformats.org/officeDocument/2006/relationships/hyperlink" Target="https://www.linkedin.com/company/fortinet" TargetMode="External"/><Relationship Id="rId16" Type="http://schemas.openxmlformats.org/officeDocument/2006/relationships/hyperlink" Target="https://www.facebook.com/fortinet/" TargetMode="External"/><Relationship Id="rId17" Type="http://schemas.openxmlformats.org/officeDocument/2006/relationships/hyperlink" Target="https://www.youtube.com/channel/UCJHo4AuVomwMRzgkA5DQEOA?sub_confirmation=1" TargetMode="External"/><Relationship Id="rId18" Type="http://schemas.openxmlformats.org/officeDocument/2006/relationships/hyperlink" Target="https://www.instagram.com/fortinet/" TargetMode="External"/><Relationship Id="rId19" Type="http://schemas.openxmlformats.org/officeDocument/2006/relationships/hyperlink" Target="https://www.fortinet.com/blog?utm_source=blog&amp;utm_medium=blog&amp;utm_campaign=blog" TargetMode="External"/><Relationship Id="rId20" Type="http://schemas.openxmlformats.org/officeDocument/2006/relationships/hyperlink" Target="https://www.globenewswire.com/Tracker?data=3ZN1f9xQbo_Vcl9FC7lRUziylTnQD_H8Wgw0LgiNABG18h6YofSmzWyF83iQxjzGr0YOzRbtH7GvWm8mhWkB1w==" TargetMode="External"/><Relationship Id="rId21" Type="http://schemas.openxmlformats.org/officeDocument/2006/relationships/hyperlink" Target="https://www.globenewswire.com/Tracker?data=3ZN1f9xQbo_Vcl9FC7lRU427bkyusLB6LHWVez1DZI-opYsFAM_-s0wno4pnWzab0djHfLUQhnXZAVo9BzogcyNk6Zaxu_xiPipTwf8Gy64lorLnM8OiN7Q0HNI7WSn2_XNgBXM6aPYr2xsJF6FhiVwXT4qZiZOohumWLMyfVcNSL-DaFkPXHjMtP__P9629" TargetMode="External"/><Relationship Id="rId22" Type="http://schemas.openxmlformats.org/officeDocument/2006/relationships/hyperlink" Target="https://www.globenewswire.com/Tracker?data=FJddTxnnUs2MbUKktjnoWNiJ8pVJ3rrefMbCSN0a2wPcU3dkIq-8gtDYKEGBfuWDp7I3mpFEHKUl2_JP9UxZ06Lpi98tsUD4B9FTkEhfTdmz8EUzHp41Q757Qs4SlTG40BZObNvmtkmAAQvxF9JWFg==" TargetMode="External"/><Relationship Id="rId23" Type="http://schemas.openxmlformats.org/officeDocument/2006/relationships/hyperlink" Target="https://www.globenewswire.com/Tracker?data=3ZN1f9xQbo_Vcl9FC7lRU7sP63Y1u7ANxMD0vN3k070iDOkurg41r7RCkKZ05g_-MU37_BxWB2D7A8oOSL4LFCj76ONcCWKDfrPqCgOU7IH9QZVmwWh5KFJ4OVPUtaQRkrRV8Ii_bqlzSOPMSXWlEreRA7JwN-ZTlLzaeMLjbs0=" TargetMode="External"/><Relationship Id="rId24" Type="http://schemas.openxmlformats.org/officeDocument/2006/relationships/hyperlink" Target="http://www.fortinet.com/" TargetMode="External"/><Relationship Id="rId25" Type="http://schemas.openxmlformats.org/officeDocument/2006/relationships/hyperlink" Target="https://www.globenewswire.com/Tracker?data=3ZN1f9xQbo_Vcl9FC7lRU8UWh33yvVmOpZUoo2Rsm97Ks9X8ujEEGJ0QRz3Y9IaMjOue_vJ9g8c1YSrQhCN89ehZsIJK1nc8MSyUz16G4WIqBpHmEnBF5Jej1XsujCNH4PZgzf5Mm_56MjzpFkFFZY3oj46ZC3a62HV7dMAo74U=" TargetMode="External"/><Relationship Id="rId26" Type="http://schemas.openxmlformats.org/officeDocument/2006/relationships/hyperlink" Target="https://www.globenewswire.com/Tracker?data=3ZN1f9xQbo_Vcl9FC7lRU4aoptLCvUUmdyfmiJXtPtoXYFRdjfSVbjfxsrda2hpiXCexke6oUsCtDWqTItuCoOUYW0exXhF-_wPj9Pv6De4lYtNZkcir3gvsLghF_FgwNXW_hiakGhDWoWydEQoERqGjh59ZRCJEg51g6W6EKsMC2EVrF0lSrR_RDiHVxchn"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header" Target="header3.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Relationship Id="rId35" Type="http://schemas.openxmlformats.org/officeDocument/2006/relationships/customXml" Target="../customXml/item2.xml"/><Relationship Id="rId36"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b3c0cda-7569-4400-9823-cd647202cc97">
      <Terms xmlns="http://schemas.microsoft.com/office/infopath/2007/PartnerControls"/>
    </lcf76f155ced4ddcb4097134ff3c332f>
    <_ip_UnifiedCompliancePolicyProperties xmlns="http://schemas.microsoft.com/sharepoint/v3" xsi:nil="true"/>
    <TaxCatchAll xmlns="b56d488a-a1ec-4050-9053-8cf6837c3a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EC4CE8855EACB4D9145D398F74B44FD" ma:contentTypeVersion="20" ma:contentTypeDescription="Utwórz nowy dokument." ma:contentTypeScope="" ma:versionID="9f9fa5968bdfafd7f44e18bfec76978b">
  <xsd:schema xmlns:xsd="http://www.w3.org/2001/XMLSchema" xmlns:xs="http://www.w3.org/2001/XMLSchema" xmlns:p="http://schemas.microsoft.com/office/2006/metadata/properties" xmlns:ns1="http://schemas.microsoft.com/sharepoint/v3" xmlns:ns2="fb3c0cda-7569-4400-9823-cd647202cc97" xmlns:ns3="b56d488a-a1ec-4050-9053-8cf6837c3a19" targetNamespace="http://schemas.microsoft.com/office/2006/metadata/properties" ma:root="true" ma:fieldsID="ef2dabe83005a7424f47ba9537e7650f" ns1:_="" ns2:_="" ns3:_="">
    <xsd:import namespace="http://schemas.microsoft.com/sharepoint/v3"/>
    <xsd:import namespace="fb3c0cda-7569-4400-9823-cd647202cc97"/>
    <xsd:import namespace="b56d488a-a1ec-4050-9053-8cf6837c3a1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Właściwości ujednoliconych zasad zgodności" ma:hidden="true" ma:internalName="_ip_UnifiedCompliancePolicyProperties">
      <xsd:simpleType>
        <xsd:restriction base="dms:Note"/>
      </xsd:simpleType>
    </xsd:element>
    <xsd:element name="_ip_UnifiedCompliancePolicyUIAction" ma:index="1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3c0cda-7569-4400-9823-cd647202c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0421c0d-218e-4a6c-a7e0-f38f9e32bff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6d488a-a1ec-4050-9053-8cf6837c3a19"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a1616fe-60e7-400a-be2d-0fbd4226e5e6}" ma:internalName="TaxCatchAll" ma:showField="CatchAllData" ma:web="b56d488a-a1ec-4050-9053-8cf6837c3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4ABCD-44D2-4628-973C-A96F6439B3C7}">
  <ds:schemaRefs>
    <ds:schemaRef ds:uri="http://schemas.microsoft.com/sharepoint/v3/contenttype/forms"/>
  </ds:schemaRefs>
</ds:datastoreItem>
</file>

<file path=customXml/itemProps2.xml><?xml version="1.0" encoding="utf-8"?>
<ds:datastoreItem xmlns:ds="http://schemas.openxmlformats.org/officeDocument/2006/customXml" ds:itemID="{ABF40330-69B2-4AB5-A396-18DC2F22E966}">
  <ds:schemaRefs>
    <ds:schemaRef ds:uri="http://schemas.microsoft.com/office/2006/metadata/properties"/>
    <ds:schemaRef ds:uri="http://schemas.microsoft.com/office/infopath/2007/PartnerControls"/>
    <ds:schemaRef ds:uri="http://schemas.microsoft.com/sharepoint/v3"/>
    <ds:schemaRef ds:uri="fb3c0cda-7569-4400-9823-cd647202cc97"/>
    <ds:schemaRef ds:uri="b56d488a-a1ec-4050-9053-8cf6837c3a19"/>
  </ds:schemaRefs>
</ds:datastoreItem>
</file>

<file path=customXml/itemProps3.xml><?xml version="1.0" encoding="utf-8"?>
<ds:datastoreItem xmlns:ds="http://schemas.openxmlformats.org/officeDocument/2006/customXml" ds:itemID="{51CAD5AC-899E-495F-86E8-9B0705CF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3c0cda-7569-4400-9823-cd647202cc97"/>
    <ds:schemaRef ds:uri="b56d488a-a1ec-4050-9053-8cf6837c3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LibreOffice/26.2.3.2$Windows_X86_64 LibreOffice_project/70e089b17412e4cb7773e41413306b17a2328c34</Application>
  <AppVersion>15.0000</AppVersion>
  <Pages>4</Pages>
  <Words>1444</Words>
  <Characters>10787</Characters>
  <CharactersWithSpaces>12214</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2026-06-17T11:31:00Z</dcterms:created>
  <dc:creator>Agnieszka Mrozowska</dc:creator>
  <dc:description/>
  <dc:language>pl-PL</dc:language>
  <cp:lastModifiedBy/>
  <dcterms:modified xsi:type="dcterms:W3CDTF">2026-06-18T12:42:04Z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0x0101001EC4CE8855EACB4D9145D398F74B44FD</vt:lpwstr>
  </property>
</Properties>
</file>