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76"/>
        <w:rPr>
          <w:b/>
          <w:bCs/>
          <w:sz w:val="40"/>
          <w:szCs w:val="40"/>
          <w:lang w:val="pl-PL"/>
        </w:rPr>
      </w:pPr>
      <w:r>
        <w:rPr>
          <w:b/>
          <w:bCs/>
          <w:sz w:val="40"/>
          <w:szCs w:val="40"/>
          <w:lang w:val="pl-PL"/>
        </w:rPr>
        <w:t>MyDefence redefiniuje osobiste systemy wykrywania dronów dzięki Wingman Edge</w:t>
      </w:r>
    </w:p>
    <w:p>
      <w:pPr>
        <w:pStyle w:val="Normal"/>
        <w:spacing w:lineRule="auto" w:line="276"/>
        <w:rPr>
          <w:i/>
          <w:iCs/>
          <w:sz w:val="22"/>
          <w:szCs w:val="22"/>
          <w:lang w:val="pl-PL"/>
        </w:rPr>
      </w:pPr>
      <w:r>
        <w:rPr>
          <w:i/>
          <w:iCs/>
          <w:sz w:val="22"/>
          <w:szCs w:val="22"/>
          <w:lang w:val="pl-PL"/>
        </w:rPr>
        <w:t xml:space="preserve">Nowy, osobisty wykrywacz dronów waży mniej niż kilogram. Urządzenie łączy wykrywanie oparte na sygnaturach z ciągłą analizą widma wspieraną przez sztuczną inteligencję.  </w:t>
      </w:r>
    </w:p>
    <w:p>
      <w:pPr>
        <w:pStyle w:val="Normal"/>
        <w:spacing w:lineRule="auto" w:line="276"/>
        <w:rPr>
          <w:sz w:val="24"/>
          <w:szCs w:val="24"/>
          <w:lang w:val="pl-PL"/>
        </w:rPr>
      </w:pPr>
      <w:r>
        <w:rPr>
          <w:b/>
          <w:bCs/>
          <w:sz w:val="24"/>
          <w:szCs w:val="24"/>
          <w:lang w:val="pl-PL"/>
        </w:rPr>
        <w:t xml:space="preserve">Aalborg, Dania – 6 października 2026. </w:t>
      </w:r>
      <w:r>
        <w:rPr>
          <w:sz w:val="24"/>
          <w:szCs w:val="24"/>
          <w:lang w:val="pl-PL"/>
        </w:rPr>
        <w:t xml:space="preserve">Firma MyDefence zaprezentowała dziś Wingman Edge. To nowej generacji, osobisty wykrywacz dronów zapewniający żołnierzom stały dostęp do wspieranej przez sztuczną inteligencję analizy widma radiowego.  </w:t>
      </w:r>
    </w:p>
    <w:p>
      <w:pPr>
        <w:pStyle w:val="Normal"/>
        <w:spacing w:lineRule="auto" w:line="276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MyDefence opracował urządzenie, które jest jednocześnie lżejsze i bardziej inteligentne. Wingman Edge waży mniej niż kilogram – jest o 17% lżejszy od rozwiązań poprzedniej generacji. Łączy oparte na sygnaturach wykrywanie sygnałów radiowych z ciągłą analizą widma realizowaną przez wbudowaną sztuczną inteligencję.</w:t>
      </w:r>
    </w:p>
    <w:p>
      <w:pPr>
        <w:pStyle w:val="Normal"/>
        <w:spacing w:lineRule="auto" w:line="276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 xml:space="preserve">System został zaprojektowany w celu analizy aktywności radiowej, która wykracza poza sygnały już zapisane w bibliotece zagrożeń. Dzięki temu Wingman Edge rozpoznaje i klasyfikuje szerszy zakres sygnałów, w tym pochodzące z dronów, nadajników, łączy komunikacyjnych, Wi-Fi, a także analogowe sygnały wideo oraz te wcześniej nieznane. </w:t>
      </w:r>
    </w:p>
    <w:p>
      <w:pPr>
        <w:pStyle w:val="Normal"/>
        <w:spacing w:lineRule="auto" w:line="276"/>
        <w:rPr>
          <w:i/>
          <w:iCs/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„</w:t>
      </w:r>
      <w:r>
        <w:rPr>
          <w:i/>
          <w:iCs/>
          <w:sz w:val="24"/>
          <w:szCs w:val="24"/>
          <w:lang w:val="pl-PL"/>
        </w:rPr>
        <w:t>Zagrożenia ze strony dronów ewoluują i nie czekają, aż baza danych na ich temat zostanie zaktualizowana</w:t>
      </w:r>
      <w:r>
        <w:rPr>
          <w:sz w:val="24"/>
          <w:szCs w:val="24"/>
          <w:lang w:val="pl-PL"/>
        </w:rPr>
        <w:t>” – powiedział Dan D. S. Hermansen, CEO MyDefence. „</w:t>
      </w:r>
      <w:r>
        <w:rPr>
          <w:i/>
          <w:iCs/>
          <w:sz w:val="24"/>
          <w:szCs w:val="24"/>
          <w:lang w:val="pl-PL"/>
        </w:rPr>
        <w:t xml:space="preserve">Od ponad dziesięciu lat wyposażamy żołnierzy w służące do wykrywania dronów urządzenia, które mogą nosić na sobie. Wingman Edge opiera się na tym założeniu, ale zapewnia każdemu żołnierzowi znacznie głębszy wgląd w to, co dzieje się w otaczającym go spektrum, również w te aktywności, które nie odpowiadają znanym sygnaturom”. </w:t>
      </w:r>
    </w:p>
    <w:p>
      <w:pPr>
        <w:pStyle w:val="Normal"/>
        <w:spacing w:lineRule="auto" w:line="276"/>
        <w:rPr>
          <w:b/>
          <w:bCs/>
          <w:sz w:val="32"/>
          <w:szCs w:val="32"/>
          <w:lang w:val="pl-PL"/>
        </w:rPr>
      </w:pPr>
      <w:r>
        <w:rPr>
          <w:b/>
          <w:bCs/>
          <w:sz w:val="24"/>
          <w:szCs w:val="24"/>
          <w:lang w:val="pl-PL"/>
        </w:rPr>
        <w:t>AI na brzegu sieci – analiza danych na pierwszej linii</w:t>
      </w:r>
    </w:p>
    <w:p>
      <w:pPr>
        <w:pStyle w:val="Normal"/>
        <w:spacing w:lineRule="auto" w:line="276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Wingman Edge przetwarza i klasyfikuje sygnały bezpośrednio na urządzeniu. W efekcie zapewnia wspierane przez AI rozpoznanie i przewagę taktyczną w czasie rzeczywistym. Umożliwia szybką, autonomiczną analizę nawet w środowiskach, w których łączność sieciowa jest ograniczona lub niedostępna.</w:t>
      </w:r>
    </w:p>
    <w:p>
      <w:pPr>
        <w:pStyle w:val="Normal"/>
        <w:spacing w:lineRule="auto" w:line="276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Urządzenie pozostaje pasywne, co pozwala systemowi monitorować środowisko elektromagnetyczne bez jednoczesnej transmisji fal radiowych. Poszczególne urządzenia Wingman Edge mogą również udostępniać dane o wykryciach oraz informacje o widmie innym żołnierzom, pojazdom i podłączonym systemom. Dzięki temu prowadzone obserwacje przyczyniają się do uzyskania szerszego obrazu sytuacji operacyjnej.</w:t>
      </w:r>
    </w:p>
    <w:p>
      <w:pPr>
        <w:pStyle w:val="Normal"/>
        <w:spacing w:lineRule="auto" w:line="276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Łącząc dane z różnych urządzeń, siły zbrojne mogą zbudować lepszą, wspólną świadomość sytuacji na całym polu walki. Zapewnia to przewagę strategiczną poprzez szybsze zrozumienie sytuacji i podejmowanie bardziej świadomych decyzji.</w:t>
      </w:r>
    </w:p>
    <w:p>
      <w:pPr>
        <w:pStyle w:val="Normal"/>
        <w:spacing w:lineRule="auto" w:line="276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Podstawą systemu jest MyDefence Spectrum Intelligence – warstwa oprogramowania i analizy danych. Łączy ona dane dotyczące częstotliwości radiowych i wiedzę na temat zagrożeń z rozwiązaniem sztucznej inteligencji w celu wykrywania, klasyfikowania i interpretowania aktywności w całym spektrum elektromagnetycznym.</w:t>
      </w:r>
    </w:p>
    <w:p>
      <w:pPr>
        <w:pStyle w:val="Normal"/>
        <w:spacing w:lineRule="auto" w:line="276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MyDefence Spectrum Intelligence zapewnia wsteczną kompatybilność z istniejącymi systemami MyDefence. Pozwala to użytkownikom wykorzystywać już posiadane możliwości, bez konieczności tworzenia nowej architektury sprzętowej.</w:t>
      </w:r>
    </w:p>
    <w:p>
      <w:pPr>
        <w:pStyle w:val="Normal"/>
        <w:spacing w:lineRule="auto" w:line="276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Wingman Edge stanowi rozwinięcie istniejącej gamy urządzeń osobistych firmy służących do wykrywania dronów. W ciągu ostatnich osiemnastu miesięcy armia Stanów Zjednoczonych zakupiła osobiste urządzenia MyDefence służące do wykrywania dronów o łącznej wartości 77 mln USD.</w:t>
      </w:r>
    </w:p>
    <w:p>
      <w:pPr>
        <w:pStyle w:val="Normal"/>
        <w:spacing w:lineRule="auto" w:line="276"/>
        <w:rPr>
          <w:b/>
          <w:bCs/>
          <w:sz w:val="24"/>
          <w:szCs w:val="24"/>
          <w:lang w:val="pl-PL"/>
        </w:rPr>
      </w:pPr>
      <w:r>
        <w:rPr>
          <w:b/>
          <w:bCs/>
          <w:sz w:val="24"/>
          <w:szCs w:val="24"/>
          <w:lang w:val="pl-PL"/>
        </w:rPr>
        <w:t>Pierwszy produkt z serii MyDefence Edge Generation</w:t>
      </w:r>
    </w:p>
    <w:p>
      <w:pPr>
        <w:pStyle w:val="Normal"/>
        <w:spacing w:lineRule="auto" w:line="276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Wingman Edge to pierwsze rozwiązanie z nowej serii Edge Generation. To tworzona przez MyDefence rodzina technologii, których celem jest przeniesienie większej części funkcji wykrywania, przetwarzania i analizy danych bezpośrednio na platformy używane operacyjnie.</w:t>
      </w:r>
    </w:p>
    <w:p>
      <w:pPr>
        <w:pStyle w:val="Normal"/>
        <w:spacing w:lineRule="auto" w:line="276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Podejście to ma umożliwić lokalne wykrywanie i analizę aktywności radiowej. Jednocześnie istotne informacje będą mogły być przekazywane do połączonych jednostek i systemów dowodzenia.</w:t>
      </w:r>
    </w:p>
    <w:p>
      <w:pPr>
        <w:pStyle w:val="Normal"/>
        <w:spacing w:lineRule="auto" w:line="276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Wingman Edge jest pierwszym urządzeniem działającym na bazie MyDefence Spectrum Intelligence.</w:t>
      </w:r>
    </w:p>
    <w:p>
      <w:pPr>
        <w:pStyle w:val="Normal"/>
        <w:spacing w:lineRule="auto" w:line="276" w:before="240" w:after="240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Ta sama warstwa analityczna ma obejmować zarówno obecne, jak i przyszłe zdolności MyDefence w zakresie rozwiązań dla użytkowników pieszych i zmotoryzowanych oraz zastosowań stacjonarnych i morskich.</w:t>
      </w:r>
    </w:p>
    <w:p>
      <w:pPr>
        <w:pStyle w:val="Normal"/>
        <w:spacing w:lineRule="auto" w:line="276"/>
        <w:rPr>
          <w:b/>
          <w:bCs/>
          <w:lang w:val="pl-PL"/>
        </w:rPr>
      </w:pPr>
      <w:r>
        <w:rPr>
          <w:b/>
          <w:bCs/>
          <w:lang w:val="pl-PL"/>
        </w:rPr>
      </w:r>
    </w:p>
    <w:p>
      <w:pPr>
        <w:pStyle w:val="Normal"/>
        <w:spacing w:lineRule="auto" w:line="276"/>
        <w:rPr>
          <w:b/>
          <w:bCs/>
          <w:lang w:val="pl-PL"/>
        </w:rPr>
      </w:pPr>
      <w:r>
        <w:rPr>
          <w:b/>
          <w:bCs/>
          <w:lang w:val="pl-PL"/>
        </w:rPr>
        <w:t>O firmie MyDefence</w:t>
      </w:r>
    </w:p>
    <w:p>
      <w:pPr>
        <w:pStyle w:val="Normal"/>
        <w:spacing w:lineRule="auto" w:line="276"/>
        <w:rPr>
          <w:lang w:val="pl-PL"/>
        </w:rPr>
      </w:pPr>
      <w:r>
        <w:rPr>
          <w:lang w:val="pl-PL"/>
        </w:rPr>
        <w:t>MyDefence opracowuje technologie przeciwdziałania bezzałogowym statkom powietrznym (UAS), służące ochronie żołnierzy, infrastruktury krytycznej i społeczeństwa przed zagrożeniami ze strony dronów. Firma łączy technologie wykrywania fal radiowych, środki przeciwdziałania elektronicznego, sztuczną inteligencję oraz sieciową wymianę informacji w ramach operacji prowadzonych przez jednostki piesze i zmotoryzowane, instalacje stacjonarne oraz morskie.</w:t>
      </w:r>
    </w:p>
    <w:p>
      <w:pPr>
        <w:pStyle w:val="Normal"/>
        <w:spacing w:lineRule="auto" w:line="276" w:before="0" w:after="160"/>
        <w:rPr>
          <w:b/>
          <w:bCs/>
        </w:rPr>
      </w:pPr>
      <w:r>
        <w:rPr/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134" w:right="1134" w:gutter="0" w:header="708" w:top="1901" w:footer="339" w:bottom="229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Aptos">
    <w:charset w:val="ee" w:characterSet="windows-1250"/>
    <w:family w:val="roman"/>
    <w:pitch w:val="variable"/>
    <w:embedRegular r:id="rId1" w:fontKey="{01014A78-CABC-4EF0-12AC-5CD89AEFDE01}"/>
  </w:font>
  <w:font w:name="Montserrat">
    <w:charset w:val="ee" w:characterSet="windows-1250"/>
    <w:family w:val="roman"/>
    <w:pitch w:val="variable"/>
    <w:embedRegular r:id="rId2" w:fontKey="{02014A78-CABC-4EF0-12AC-5CD89AEFDE02}"/>
    <w:embedBold r:id="rId3" w:fontKey="{03014A78-CABC-4EF0-12AC-5CD89AEFDE03}"/>
    <w:embedItalic r:id="rId4" w:fontKey="{04014A78-CABC-4EF0-12AC-5CD89AEFDE04}"/>
    <w:embedBoldItalic r:id="rId5" w:fontKey="{05014A78-CABC-4EF0-12AC-5CD89AEFDE05}"/>
  </w:font>
  <w:font w:name="Degular Display Semibold">
    <w:charset w:val="ee" w:characterSet="windows-1250"/>
    <w:family w:val="swiss"/>
    <w:pitch w:val="variable"/>
  </w:font>
  <w:font w:name="Liberation Sans">
    <w:altName w:val="Arial"/>
    <w:charset w:val="ee" w:characterSet="windows-1250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ind w:end="360"/>
      <w:rPr>
        <w:rStyle w:val="PageNumber"/>
      </w:rPr>
    </w:pPr>
    <w:r>
      <w:rPr/>
    </w:r>
    <w:r>
      <mc:AlternateContent>
        <mc:Choice Requires="wps">
          <w:drawing>
            <wp:anchor distT="0" distB="0" distL="0" distR="0" simplePos="0" relativeHeight="0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None/>
              <wp:docPr id="5" name="Ramka1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05" cy="14605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sdt>
                          <w:sdtPr>
                            <w:id w:val="-1099400986"/>
                            <w:docPartObj>
                              <w:docPartGallery w:val="Page Numbers (Bottom of Page)"/>
                              <w:docPartUnique w:val="true"/>
                            </w:docPartObj>
                          </w:sdtPr>
                          <w:sdtContent>
                            <w:p>
                              <w:pPr>
                                <w:pStyle w:val="Footer"/>
                                <w:pBdr/>
                                <w:rPr>
                                  <w:rStyle w:val="PageNumber"/>
                                </w:rPr>
                              </w:pPr>
                              <w:r>
                                <w:rPr>
                                  <w:rStyle w:val="PageNumber"/>
                                </w:rPr>
                                <w:fldChar w:fldCharType="begin"/>
                              </w:r>
                              <w:r>
                                <w:rPr>
                                  <w:rStyle w:val="PageNumber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PageNumber"/>
                                </w:rPr>
                                <w:fldChar w:fldCharType="separate"/>
                              </w:r>
                              <w:r>
                                <w:rPr>
                                  <w:rStyle w:val="PageNumber"/>
                                </w:rPr>
                                <w:t>0</w:t>
                              </w:r>
                              <w:r>
                                <w:rPr>
                                  <w:rStyle w:val="PageNumber"/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anchor="t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fillcolor="#FFFFFF" style="position:absolute;rotation:-0;width:1.15pt;height:1.15pt;mso-wrap-distance-left:0pt;mso-wrap-distance-right:0pt;mso-wrap-distance-top:0pt;mso-wrap-distance-bottom:0pt;margin-top:0.05pt;mso-position-vertical-relative:text;margin-left:0pt;mso-position-horizontal:right;mso-position-horizontal-relative:margin">
              <v:fill opacity="0f"/>
              <v:textbox inset="0in,0in,0in,0in">
                <w:txbxContent>
                  <w:sdt>
                    <w:sdtPr>
                      <w:id w:val="-1099400986"/>
                      <w:docPartObj>
                        <w:docPartGallery w:val="Page Numbers (Bottom of Page)"/>
                        <w:docPartUnique w:val="true"/>
                      </w:docPartObj>
                    </w:sdtPr>
                    <w:sdtContent>
                      <w:p>
                        <w:pPr>
                          <w:pStyle w:val="Footer"/>
                          <w:pBdr/>
                          <w:rPr>
                            <w:rStyle w:val="PageNumber"/>
                          </w:rPr>
                        </w:pPr>
                        <w:r>
                          <w:rPr>
                            <w:rStyle w:val="PageNumber"/>
                          </w:rPr>
                          <w:fldChar w:fldCharType="begin"/>
                        </w:r>
                        <w:r>
                          <w:rPr>
                            <w:rStyle w:val="PageNumber"/>
                          </w:rPr>
                          <w:instrText xml:space="preserve"> PAGE </w:instrText>
                        </w:r>
                        <w:r>
                          <w:rPr>
                            <w:rStyle w:val="PageNumber"/>
                          </w:rPr>
                          <w:fldChar w:fldCharType="separate"/>
                        </w:r>
                        <w:r>
                          <w:rPr>
                            <w:rStyle w:val="PageNumber"/>
                          </w:rPr>
                          <w:t>0</w:t>
                        </w:r>
                        <w:r>
                          <w:rPr>
                            <w:rStyle w:val="PageNumber"/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id w:val="1223555765"/>
      <w:docPartObj>
        <w:docPartGallery w:val="Page Numbers (Bottom of Page)"/>
        <w:docPartUnique w:val="true"/>
      </w:docPartObj>
    </w:sdtPr>
    <w:sdtContent>
      <w:p>
        <w:pPr>
          <w:pStyle w:val="Footer"/>
          <w:rPr>
            <w:rStyle w:val="PageNumber"/>
            <w:color w:val="09142A"/>
            <w:sz w:val="18"/>
            <w:szCs w:val="18"/>
          </w:rPr>
        </w:pPr>
        <w:r>
          <w:rPr>
            <w:rStyle w:val="PageNumber"/>
            <w:color w:val="09142A"/>
            <w:sz w:val="18"/>
            <w:szCs w:val="18"/>
          </w:rPr>
          <w:fldChar w:fldCharType="begin"/>
        </w:r>
        <w:r>
          <w:rPr>
            <w:rStyle w:val="PageNumber"/>
            <w:color w:val="09142A"/>
            <w:sz w:val="18"/>
            <w:szCs w:val="18"/>
          </w:rPr>
          <w:instrText xml:space="preserve"> PAGE </w:instrText>
        </w:r>
        <w:r>
          <w:rPr>
            <w:rStyle w:val="PageNumber"/>
            <w:color w:val="09142A"/>
            <w:sz w:val="18"/>
            <w:szCs w:val="18"/>
          </w:rPr>
          <w:fldChar w:fldCharType="separate"/>
        </w:r>
        <w:r>
          <w:rPr>
            <w:rStyle w:val="PageNumber"/>
            <w:color w:val="09142A"/>
            <w:sz w:val="18"/>
            <w:szCs w:val="18"/>
          </w:rPr>
          <w:t>3</w:t>
        </w:r>
        <w:r>
          <w:rPr>
            <w:rStyle w:val="PageNumber"/>
            <w:color w:val="09142A"/>
            <w:sz w:val="18"/>
            <w:szCs w:val="18"/>
          </w:rPr>
          <w:fldChar w:fldCharType="end"/>
        </w:r>
      </w:p>
    </w:sdtContent>
  </w:sdt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id w:val="1223555765"/>
      <w:docPartObj>
        <w:docPartGallery w:val="Page Numbers (Bottom of Page)"/>
        <w:docPartUnique w:val="true"/>
      </w:docPartObj>
    </w:sdtPr>
    <w:sdtContent>
      <w:p>
        <w:pPr>
          <w:pStyle w:val="Footer"/>
          <w:rPr>
            <w:rStyle w:val="PageNumber"/>
            <w:color w:val="09142A"/>
            <w:sz w:val="18"/>
            <w:szCs w:val="18"/>
          </w:rPr>
        </w:pPr>
        <w:r>
          <w:rPr>
            <w:rStyle w:val="PageNumber"/>
            <w:color w:val="09142A"/>
            <w:sz w:val="18"/>
            <w:szCs w:val="18"/>
          </w:rPr>
          <w:fldChar w:fldCharType="begin"/>
        </w:r>
        <w:r>
          <w:rPr>
            <w:rStyle w:val="PageNumber"/>
            <w:color w:val="09142A"/>
            <w:sz w:val="18"/>
            <w:szCs w:val="18"/>
          </w:rPr>
          <w:instrText xml:space="preserve"> PAGE </w:instrText>
        </w:r>
        <w:r>
          <w:rPr>
            <w:rStyle w:val="PageNumber"/>
            <w:color w:val="09142A"/>
            <w:sz w:val="18"/>
            <w:szCs w:val="18"/>
          </w:rPr>
          <w:fldChar w:fldCharType="separate"/>
        </w:r>
        <w:r>
          <w:rPr>
            <w:rStyle w:val="PageNumber"/>
            <w:color w:val="09142A"/>
            <w:sz w:val="18"/>
            <w:szCs w:val="18"/>
          </w:rPr>
          <w:t>3</w:t>
        </w:r>
        <w:r>
          <w:rPr>
            <w:rStyle w:val="PageNumber"/>
            <w:color w:val="09142A"/>
            <w:sz w:val="18"/>
            <w:szCs w:val="18"/>
          </w:rPr>
          <w:fldChar w:fldCharType="end"/>
        </w:r>
      </w:p>
    </w:sdtContent>
  </w:sdt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rdneg"/>
      <w:rPr>
        <w:color w:val="09142A"/>
      </w:rPr>
    </w:pPr>
    <w:r>
      <w:rPr/>
      <w:drawing>
        <wp:inline distT="0" distB="0" distL="0" distR="0">
          <wp:extent cx="2540635" cy="32131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540635" cy="3213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>
    <w:pPr>
      <w:pStyle w:val="Brdneg"/>
      <w:rPr/>
    </w:pPr>
    <w:r>
      <w:rPr/>
    </w:r>
  </w:p>
  <w:p>
    <w:pPr>
      <w:pStyle w:val="Brdneg"/>
      <w:rPr/>
    </w:pPr>
    <w:r>
      <w:rPr/>
    </w:r>
  </w:p>
  <w:tbl>
    <w:tblPr>
      <w:tblStyle w:val="Tabela-Siatka"/>
      <w:tblW w:w="9628" w:type="dxa"/>
      <w:jc w:val="start"/>
      <w:tblInd w:w="0" w:type="dxa"/>
      <w:tblLayout w:type="fixed"/>
      <w:tblCellMar>
        <w:top w:w="0" w:type="dxa"/>
        <w:start w:w="0" w:type="dxa"/>
        <w:bottom w:w="0" w:type="dxa"/>
        <w:end w:w="0" w:type="dxa"/>
      </w:tblCellMar>
      <w:tblLook w:val="04a0" w:firstRow="1" w:noVBand="1" w:lastRow="0" w:firstColumn="1" w:lastColumn="0" w:noHBand="0"/>
    </w:tblPr>
    <w:tblGrid>
      <w:gridCol w:w="3595"/>
      <w:gridCol w:w="6033"/>
    </w:tblGrid>
    <w:tr>
      <w:trPr/>
      <w:tc>
        <w:tcPr>
          <w:tcW w:w="3595" w:type="dxa"/>
          <w:tcBorders>
            <w:top w:val="nil"/>
            <w:start w:val="nil"/>
            <w:bottom w:val="nil"/>
            <w:end w:val="nil"/>
          </w:tcBorders>
        </w:tcPr>
        <w:p>
          <w:pPr>
            <w:pStyle w:val="Brdneg"/>
            <w:widowControl/>
            <w:spacing w:before="0" w:after="0"/>
            <w:jc w:val="start"/>
            <w:rPr>
              <w:rFonts w:eastAsia="Aptos"/>
              <w:lang w:eastAsia="en-US" w:bidi="ar-SA"/>
            </w:rPr>
          </w:pPr>
          <w:r>
            <w:rPr>
              <w:rFonts w:eastAsia="Aptos"/>
              <w:lang w:eastAsia="en-US" w:bidi="ar-SA"/>
            </w:rPr>
          </w:r>
        </w:p>
      </w:tc>
      <w:tc>
        <w:tcPr>
          <w:tcW w:w="6033" w:type="dxa"/>
          <w:tcBorders>
            <w:top w:val="nil"/>
            <w:start w:val="nil"/>
            <w:bottom w:val="nil"/>
            <w:end w:val="nil"/>
          </w:tcBorders>
        </w:tcPr>
        <w:p>
          <w:pPr>
            <w:pStyle w:val="Brdneg"/>
            <w:widowControl/>
            <w:spacing w:before="0" w:after="0"/>
            <w:jc w:val="start"/>
            <w:rPr>
              <w:rFonts w:eastAsia="Aptos"/>
              <w:lang w:eastAsia="en-US" w:bidi="ar-SA"/>
            </w:rPr>
          </w:pPr>
          <w:r>
            <w:rPr>
              <w:rFonts w:eastAsia="Aptos"/>
              <w:lang w:eastAsia="en-US" w:bidi="ar-SA"/>
            </w:rPr>
          </w:r>
        </w:p>
      </w:tc>
    </w:tr>
  </w:tbl>
  <w:p>
    <w:pPr>
      <w:pStyle w:val="Brdneg"/>
      <w:rPr/>
    </w:pPr>
    <w:r>
      <w:rPr/>
      <mc:AlternateContent>
        <mc:Choice Requires="wps">
          <w:drawing>
            <wp:anchor distT="0" distB="12700" distL="0" distR="12700" simplePos="0" relativeHeight="7" behindDoc="1" locked="0" layoutInCell="1" allowOverlap="1" wp14:anchorId="09B27470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6197600" cy="0"/>
              <wp:effectExtent l="635" t="3810" r="635" b="3810"/>
              <wp:wrapNone/>
              <wp:docPr id="2" name="Straight Connector 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97760" cy="0"/>
                      </a:xfrm>
                      <a:prstGeom prst="line">
                        <a:avLst/>
                      </a:prstGeom>
                      <a:ln>
                        <a:solidFill>
                          <a:srgbClr val="09142A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hape_0" from="0pt,-0.05pt" to="487.95pt,-0.05pt" stroked="t" o:allowincell="f" style="position:absolute" wp14:anchorId="09B27470">
              <v:stroke color="#09142a" weight="6480" joinstyle="miter" endcap="flat"/>
              <v:fill o:detectmouseclick="t" on="false"/>
              <w10:wrap type="none"/>
            </v:line>
          </w:pict>
        </mc:Fallback>
      </mc:AlternateConten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rdneg"/>
      <w:rPr>
        <w:color w:val="09142A"/>
      </w:rPr>
    </w:pPr>
    <w:r>
      <w:rPr/>
      <w:drawing>
        <wp:inline distT="0" distB="0" distL="0" distR="0">
          <wp:extent cx="2540635" cy="321310"/>
          <wp:effectExtent l="0" t="0" r="0" b="0"/>
          <wp:docPr id="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540635" cy="3213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>
    <w:pPr>
      <w:pStyle w:val="Brdneg"/>
      <w:rPr/>
    </w:pPr>
    <w:r>
      <w:rPr/>
    </w:r>
  </w:p>
  <w:p>
    <w:pPr>
      <w:pStyle w:val="Brdneg"/>
      <w:rPr/>
    </w:pPr>
    <w:r>
      <w:rPr/>
    </w:r>
  </w:p>
  <w:tbl>
    <w:tblPr>
      <w:tblStyle w:val="Tabela-Siatka"/>
      <w:tblW w:w="9628" w:type="dxa"/>
      <w:jc w:val="start"/>
      <w:tblInd w:w="0" w:type="dxa"/>
      <w:tblLayout w:type="fixed"/>
      <w:tblCellMar>
        <w:top w:w="0" w:type="dxa"/>
        <w:start w:w="0" w:type="dxa"/>
        <w:bottom w:w="0" w:type="dxa"/>
        <w:end w:w="0" w:type="dxa"/>
      </w:tblCellMar>
      <w:tblLook w:val="04a0" w:firstRow="1" w:noVBand="1" w:lastRow="0" w:firstColumn="1" w:lastColumn="0" w:noHBand="0"/>
    </w:tblPr>
    <w:tblGrid>
      <w:gridCol w:w="3595"/>
      <w:gridCol w:w="6033"/>
    </w:tblGrid>
    <w:tr>
      <w:trPr/>
      <w:tc>
        <w:tcPr>
          <w:tcW w:w="3595" w:type="dxa"/>
          <w:tcBorders>
            <w:top w:val="nil"/>
            <w:start w:val="nil"/>
            <w:bottom w:val="nil"/>
            <w:end w:val="nil"/>
          </w:tcBorders>
        </w:tcPr>
        <w:p>
          <w:pPr>
            <w:pStyle w:val="Brdneg"/>
            <w:widowControl/>
            <w:spacing w:before="0" w:after="0"/>
            <w:jc w:val="start"/>
            <w:rPr>
              <w:rFonts w:eastAsia="Aptos"/>
              <w:lang w:eastAsia="en-US" w:bidi="ar-SA"/>
            </w:rPr>
          </w:pPr>
          <w:r>
            <w:rPr>
              <w:rFonts w:eastAsia="Aptos"/>
              <w:lang w:eastAsia="en-US" w:bidi="ar-SA"/>
            </w:rPr>
          </w:r>
        </w:p>
      </w:tc>
      <w:tc>
        <w:tcPr>
          <w:tcW w:w="6033" w:type="dxa"/>
          <w:tcBorders>
            <w:top w:val="nil"/>
            <w:start w:val="nil"/>
            <w:bottom w:val="nil"/>
            <w:end w:val="nil"/>
          </w:tcBorders>
        </w:tcPr>
        <w:p>
          <w:pPr>
            <w:pStyle w:val="Brdneg"/>
            <w:widowControl/>
            <w:spacing w:before="0" w:after="0"/>
            <w:jc w:val="start"/>
            <w:rPr>
              <w:rFonts w:eastAsia="Aptos"/>
              <w:lang w:eastAsia="en-US" w:bidi="ar-SA"/>
            </w:rPr>
          </w:pPr>
          <w:r>
            <w:rPr>
              <w:rFonts w:eastAsia="Aptos"/>
              <w:lang w:eastAsia="en-US" w:bidi="ar-SA"/>
            </w:rPr>
          </w:r>
        </w:p>
      </w:tc>
    </w:tr>
  </w:tbl>
  <w:p>
    <w:pPr>
      <w:pStyle w:val="Brdneg"/>
      <w:rPr/>
    </w:pPr>
    <w:r>
      <w:rPr/>
      <mc:AlternateContent>
        <mc:Choice Requires="wps">
          <w:drawing>
            <wp:anchor distT="0" distB="12700" distL="0" distR="12700" simplePos="0" relativeHeight="7" behindDoc="1" locked="0" layoutInCell="1" allowOverlap="1" wp14:anchorId="09B27470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6197600" cy="0"/>
              <wp:effectExtent l="635" t="3810" r="635" b="3810"/>
              <wp:wrapNone/>
              <wp:docPr id="4" name="Straight Connector 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97760" cy="0"/>
                      </a:xfrm>
                      <a:prstGeom prst="line">
                        <a:avLst/>
                      </a:prstGeom>
                      <a:ln>
                        <a:solidFill>
                          <a:srgbClr val="09142A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hape_0" from="0pt,-0.05pt" to="487.95pt,-0.05pt" stroked="t" o:allowincell="f" style="position:absolute" wp14:anchorId="09B27470">
              <v:stroke color="#09142a" weight="6480" joinstyle="miter" endcap="flat"/>
              <v:fill o:detectmouseclick="t" on="false"/>
              <w10:wrap type="none"/>
            </v:line>
          </w:pict>
        </mc:Fallback>
      </mc:AlternateContent>
    </w:r>
  </w:p>
</w:hdr>
</file>

<file path=word/settings.xml><?xml version="1.0" encoding="utf-8"?>
<w:settings xmlns:w="http://schemas.openxmlformats.org/wordprocessingml/2006/main">
  <w:zoom w:percent="100"/>
  <w:embedTrueTypeFonts/>
  <w:defaultTabStop w:val="1304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da-DK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ptos" w:hAnsi="Aptos" w:eastAsia="Aptos" w:cs="" w:asciiTheme="minorHAnsi" w:cstheme="minorBidi" w:eastAsiaTheme="minorHAnsi" w:hAnsiTheme="minorHAnsi"/>
        <w:kern w:val="2"/>
        <w:sz w:val="24"/>
        <w:szCs w:val="24"/>
        <w:lang w:val="da-DK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2d753e"/>
    <w:pPr>
      <w:widowControl/>
      <w:bidi w:val="0"/>
      <w:spacing w:lineRule="auto" w:line="278" w:before="0" w:after="160"/>
      <w:jc w:val="start"/>
    </w:pPr>
    <w:rPr>
      <w:rFonts w:ascii="Montserrat" w:hAnsi="Montserrat" w:eastAsia="Aptos" w:cs="" w:cstheme="minorBidi" w:eastAsiaTheme="minorHAnsi"/>
      <w:color w:val="auto"/>
      <w:kern w:val="2"/>
      <w:sz w:val="20"/>
      <w:szCs w:val="20"/>
      <w:lang w:val="en-US" w:eastAsia="en-US" w:bidi="ar-SA"/>
      <w14:ligatures w14:val="standardContextual"/>
    </w:rPr>
  </w:style>
  <w:style w:type="paragraph" w:styleId="Heading1">
    <w:name w:val="heading 1"/>
    <w:basedOn w:val="Normal"/>
    <w:next w:val="Normal"/>
    <w:link w:val="Nagwek1Znak"/>
    <w:uiPriority w:val="9"/>
    <w:qFormat/>
    <w:rsid w:val="009a4787"/>
    <w:pPr>
      <w:keepNext w:val="true"/>
      <w:keepLines/>
      <w:spacing w:lineRule="auto" w:line="240" w:before="360" w:after="80"/>
      <w:outlineLvl w:val="0"/>
    </w:pPr>
    <w:rPr>
      <w:rFonts w:ascii="Degular Display Semibold" w:hAnsi="Degular Display Semibold" w:eastAsia="" w:cs="" w:cstheme="majorBidi" w:eastAsiaTheme="majorEastAsia"/>
      <w:b/>
      <w:bCs/>
      <w:color w:val="09142A"/>
      <w:sz w:val="64"/>
      <w:szCs w:val="64"/>
    </w:rPr>
  </w:style>
  <w:style w:type="paragraph" w:styleId="Heading2">
    <w:name w:val="heading 2"/>
    <w:basedOn w:val="Normal"/>
    <w:next w:val="Normal"/>
    <w:link w:val="Nagwek2Znak"/>
    <w:uiPriority w:val="9"/>
    <w:unhideWhenUsed/>
    <w:qFormat/>
    <w:rsid w:val="00236043"/>
    <w:pPr>
      <w:keepNext w:val="true"/>
      <w:keepLines/>
      <w:spacing w:before="160" w:after="80"/>
      <w:outlineLvl w:val="1"/>
    </w:pPr>
    <w:rPr>
      <w:rFonts w:eastAsia="" w:cs="" w:cstheme="majorBidi" w:eastAsiaTheme="majorEastAsia"/>
      <w:b/>
      <w:bCs/>
      <w:color w:val="09142A"/>
    </w:rPr>
  </w:style>
  <w:style w:type="paragraph" w:styleId="Heading3">
    <w:name w:val="heading 3"/>
    <w:basedOn w:val="Normal"/>
    <w:next w:val="Normal"/>
    <w:link w:val="Nagwek3Znak"/>
    <w:uiPriority w:val="9"/>
    <w:semiHidden/>
    <w:unhideWhenUsed/>
    <w:qFormat/>
    <w:rsid w:val="009f1268"/>
    <w:pPr>
      <w:keepNext w:val="true"/>
      <w:keepLines/>
      <w:spacing w:before="160" w:after="80"/>
      <w:outlineLvl w:val="2"/>
    </w:pPr>
    <w:rPr>
      <w:rFonts w:eastAsia="" w:cs="" w:cstheme="majorBidi" w:eastAsiaTheme="majorEastAsia"/>
      <w:color w:themeColor="accent1" w:themeShade="bf" w:val="2F5496"/>
      <w:sz w:val="28"/>
      <w:szCs w:val="28"/>
    </w:rPr>
  </w:style>
  <w:style w:type="paragraph" w:styleId="Heading4">
    <w:name w:val="heading 4"/>
    <w:basedOn w:val="Normal"/>
    <w:next w:val="Normal"/>
    <w:link w:val="Nagwek4Znak"/>
    <w:uiPriority w:val="9"/>
    <w:semiHidden/>
    <w:unhideWhenUsed/>
    <w:qFormat/>
    <w:rsid w:val="009f1268"/>
    <w:pPr>
      <w:keepNext w:val="true"/>
      <w:keepLines/>
      <w:spacing w:before="80" w:after="40"/>
      <w:outlineLvl w:val="3"/>
    </w:pPr>
    <w:rPr>
      <w:rFonts w:eastAsia="" w:cs="" w:cstheme="majorBidi" w:eastAsiaTheme="majorEastAsia"/>
      <w:i/>
      <w:iCs/>
      <w:color w:themeColor="accent1" w:themeShade="bf" w:val="2F5496"/>
    </w:rPr>
  </w:style>
  <w:style w:type="paragraph" w:styleId="Heading5">
    <w:name w:val="heading 5"/>
    <w:basedOn w:val="Normal"/>
    <w:next w:val="Normal"/>
    <w:link w:val="Nagwek5Znak"/>
    <w:uiPriority w:val="9"/>
    <w:semiHidden/>
    <w:unhideWhenUsed/>
    <w:qFormat/>
    <w:rsid w:val="009f1268"/>
    <w:pPr>
      <w:keepNext w:val="true"/>
      <w:keepLines/>
      <w:spacing w:before="80" w:after="40"/>
      <w:outlineLvl w:val="4"/>
    </w:pPr>
    <w:rPr>
      <w:rFonts w:eastAsia="" w:cs="" w:cstheme="majorBidi" w:eastAsiaTheme="majorEastAsia"/>
      <w:color w:themeColor="accent1" w:themeShade="bf" w:val="2F5496"/>
    </w:rPr>
  </w:style>
  <w:style w:type="paragraph" w:styleId="Heading6">
    <w:name w:val="heading 6"/>
    <w:basedOn w:val="Normal"/>
    <w:next w:val="Normal"/>
    <w:link w:val="Nagwek6Znak"/>
    <w:uiPriority w:val="9"/>
    <w:semiHidden/>
    <w:unhideWhenUsed/>
    <w:qFormat/>
    <w:rsid w:val="009f1268"/>
    <w:pPr>
      <w:keepNext w:val="true"/>
      <w:keepLines/>
      <w:spacing w:before="40" w:after="0"/>
      <w:outlineLvl w:val="5"/>
    </w:pPr>
    <w:rPr>
      <w:rFonts w:eastAsia="" w:cs="" w:cstheme="majorBidi" w:eastAsiaTheme="majorEastAsia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Nagwek7Znak"/>
    <w:uiPriority w:val="9"/>
    <w:semiHidden/>
    <w:unhideWhenUsed/>
    <w:qFormat/>
    <w:rsid w:val="009f1268"/>
    <w:pPr>
      <w:keepNext w:val="true"/>
      <w:keepLines/>
      <w:spacing w:before="40" w:after="0"/>
      <w:outlineLvl w:val="6"/>
    </w:pPr>
    <w:rPr>
      <w:rFonts w:eastAsia="" w:cs="" w:cstheme="majorBidi" w:eastAsiaTheme="majorEastAsia"/>
      <w:color w:themeColor="text1" w:themeTint="a6" w:val="595959"/>
    </w:rPr>
  </w:style>
  <w:style w:type="paragraph" w:styleId="Heading8">
    <w:name w:val="heading 8"/>
    <w:basedOn w:val="Normal"/>
    <w:next w:val="Normal"/>
    <w:link w:val="Nagwek8Znak"/>
    <w:uiPriority w:val="9"/>
    <w:semiHidden/>
    <w:unhideWhenUsed/>
    <w:qFormat/>
    <w:rsid w:val="009f1268"/>
    <w:pPr>
      <w:keepNext w:val="true"/>
      <w:keepLines/>
      <w:spacing w:before="0" w:after="0"/>
      <w:outlineLvl w:val="7"/>
    </w:pPr>
    <w:rPr>
      <w:rFonts w:eastAsia="" w:cs="" w:cstheme="majorBidi" w:eastAsiaTheme="majorEastAsia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Nagwek9Znak"/>
    <w:uiPriority w:val="9"/>
    <w:semiHidden/>
    <w:unhideWhenUsed/>
    <w:qFormat/>
    <w:rsid w:val="009f1268"/>
    <w:pPr>
      <w:keepNext w:val="true"/>
      <w:keepLines/>
      <w:spacing w:before="0" w:after="0"/>
      <w:outlineLvl w:val="8"/>
    </w:pPr>
    <w:rPr>
      <w:rFonts w:eastAsia="" w:cs="" w:cstheme="majorBidi" w:eastAsiaTheme="majorEastAsia"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gwek1Znak" w:customStyle="1">
    <w:name w:val="Nagłówek 1 Znak"/>
    <w:basedOn w:val="DefaultParagraphFont"/>
    <w:uiPriority w:val="9"/>
    <w:qFormat/>
    <w:rsid w:val="009a4787"/>
    <w:rPr>
      <w:rFonts w:ascii="Degular Display Semibold" w:hAnsi="Degular Display Semibold" w:eastAsia="" w:cs="" w:cstheme="majorBidi" w:eastAsiaTheme="majorEastAsia"/>
      <w:b/>
      <w:bCs/>
      <w:color w:val="09142A"/>
      <w:sz w:val="64"/>
      <w:szCs w:val="64"/>
      <w:lang w:val="en-US"/>
    </w:rPr>
  </w:style>
  <w:style w:type="character" w:styleId="Nagwek2Znak" w:customStyle="1">
    <w:name w:val="Nagłówek 2 Znak"/>
    <w:basedOn w:val="DefaultParagraphFont"/>
    <w:uiPriority w:val="9"/>
    <w:qFormat/>
    <w:rsid w:val="00236043"/>
    <w:rPr>
      <w:rFonts w:ascii="Montserrat" w:hAnsi="Montserrat" w:eastAsia="" w:cs="" w:cstheme="majorBidi" w:eastAsiaTheme="majorEastAsia"/>
      <w:b/>
      <w:bCs/>
      <w:color w:val="09142A"/>
      <w:sz w:val="21"/>
      <w:szCs w:val="21"/>
    </w:rPr>
  </w:style>
  <w:style w:type="character" w:styleId="Nagwek3Znak" w:customStyle="1">
    <w:name w:val="Nagłówek 3 Znak"/>
    <w:basedOn w:val="DefaultParagraphFont"/>
    <w:uiPriority w:val="9"/>
    <w:semiHidden/>
    <w:qFormat/>
    <w:rsid w:val="009f1268"/>
    <w:rPr>
      <w:rFonts w:eastAsia="" w:cs="" w:cstheme="majorBidi" w:eastAsiaTheme="majorEastAsia"/>
      <w:color w:themeColor="accent1" w:themeShade="bf" w:val="2F5496"/>
      <w:sz w:val="28"/>
      <w:szCs w:val="28"/>
    </w:rPr>
  </w:style>
  <w:style w:type="character" w:styleId="Nagwek4Znak" w:customStyle="1">
    <w:name w:val="Nagłówek 4 Znak"/>
    <w:basedOn w:val="DefaultParagraphFont"/>
    <w:uiPriority w:val="9"/>
    <w:semiHidden/>
    <w:qFormat/>
    <w:rsid w:val="009f1268"/>
    <w:rPr>
      <w:rFonts w:eastAsia="" w:cs="" w:cstheme="majorBidi" w:eastAsiaTheme="majorEastAsia"/>
      <w:i/>
      <w:iCs/>
      <w:color w:themeColor="accent1" w:themeShade="bf" w:val="2F5496"/>
    </w:rPr>
  </w:style>
  <w:style w:type="character" w:styleId="Nagwek5Znak" w:customStyle="1">
    <w:name w:val="Nagłówek 5 Znak"/>
    <w:basedOn w:val="DefaultParagraphFont"/>
    <w:uiPriority w:val="9"/>
    <w:semiHidden/>
    <w:qFormat/>
    <w:rsid w:val="009f1268"/>
    <w:rPr>
      <w:rFonts w:eastAsia="" w:cs="" w:cstheme="majorBidi" w:eastAsiaTheme="majorEastAsia"/>
      <w:color w:themeColor="accent1" w:themeShade="bf" w:val="2F5496"/>
    </w:rPr>
  </w:style>
  <w:style w:type="character" w:styleId="Nagwek6Znak" w:customStyle="1">
    <w:name w:val="Nagłówek 6 Znak"/>
    <w:basedOn w:val="DefaultParagraphFont"/>
    <w:uiPriority w:val="9"/>
    <w:semiHidden/>
    <w:qFormat/>
    <w:rsid w:val="009f1268"/>
    <w:rPr>
      <w:rFonts w:eastAsia="" w:cs="" w:cstheme="majorBidi" w:eastAsiaTheme="majorEastAsia"/>
      <w:i/>
      <w:iCs/>
      <w:color w:themeColor="text1" w:themeTint="a6" w:val="595959"/>
    </w:rPr>
  </w:style>
  <w:style w:type="character" w:styleId="Nagwek7Znak" w:customStyle="1">
    <w:name w:val="Nagłówek 7 Znak"/>
    <w:basedOn w:val="DefaultParagraphFont"/>
    <w:uiPriority w:val="9"/>
    <w:semiHidden/>
    <w:qFormat/>
    <w:rsid w:val="009f1268"/>
    <w:rPr>
      <w:rFonts w:eastAsia="" w:cs="" w:cstheme="majorBidi" w:eastAsiaTheme="majorEastAsia"/>
      <w:color w:themeColor="text1" w:themeTint="a6" w:val="595959"/>
    </w:rPr>
  </w:style>
  <w:style w:type="character" w:styleId="Nagwek8Znak" w:customStyle="1">
    <w:name w:val="Nagłówek 8 Znak"/>
    <w:basedOn w:val="DefaultParagraphFont"/>
    <w:uiPriority w:val="9"/>
    <w:semiHidden/>
    <w:qFormat/>
    <w:rsid w:val="009f1268"/>
    <w:rPr>
      <w:rFonts w:eastAsia="" w:cs="" w:cstheme="majorBidi" w:eastAsiaTheme="majorEastAsia"/>
      <w:i/>
      <w:iCs/>
      <w:color w:themeColor="text1" w:themeTint="d8" w:val="272727"/>
    </w:rPr>
  </w:style>
  <w:style w:type="character" w:styleId="Nagwek9Znak" w:customStyle="1">
    <w:name w:val="Nagłówek 9 Znak"/>
    <w:basedOn w:val="DefaultParagraphFont"/>
    <w:uiPriority w:val="9"/>
    <w:semiHidden/>
    <w:qFormat/>
    <w:rsid w:val="009f1268"/>
    <w:rPr>
      <w:rFonts w:eastAsia="" w:cs="" w:cstheme="majorBidi" w:eastAsiaTheme="majorEastAsia"/>
      <w:color w:themeColor="text1" w:themeTint="d8" w:val="272727"/>
    </w:rPr>
  </w:style>
  <w:style w:type="character" w:styleId="TytuZnak" w:customStyle="1">
    <w:name w:val="Tytuł Znak"/>
    <w:basedOn w:val="DefaultParagraphFont"/>
    <w:uiPriority w:val="10"/>
    <w:qFormat/>
    <w:rsid w:val="00236043"/>
    <w:rPr>
      <w:rFonts w:ascii="Degular Display Semibold" w:hAnsi="Degular Display Semibold" w:eastAsia="" w:cs="Times New Roman (Headings CS)" w:eastAsiaTheme="majorEastAsia"/>
      <w:b/>
      <w:bCs/>
      <w:caps/>
      <w:color w:val="09142A"/>
      <w:spacing w:val="20"/>
      <w:kern w:val="2"/>
      <w:sz w:val="72"/>
      <w:szCs w:val="58"/>
    </w:rPr>
  </w:style>
  <w:style w:type="character" w:styleId="PodtytuZnak" w:customStyle="1">
    <w:name w:val="Podtytuł Znak"/>
    <w:basedOn w:val="DefaultParagraphFont"/>
    <w:uiPriority w:val="11"/>
    <w:qFormat/>
    <w:rsid w:val="002d753e"/>
    <w:rPr>
      <w:rFonts w:ascii="Degular Display Semibold" w:hAnsi="Degular Display Semibold" w:eastAsia="" w:cs="Times New Roman (Headings CS)" w:eastAsiaTheme="majorEastAsia"/>
      <w:b/>
      <w:bCs/>
      <w:color w:val="09142A"/>
      <w:spacing w:val="15"/>
      <w:sz w:val="32"/>
      <w:szCs w:val="34"/>
      <w:lang w:val="en-US"/>
    </w:rPr>
  </w:style>
  <w:style w:type="character" w:styleId="CytatZnak" w:customStyle="1">
    <w:name w:val="Cytat Znak"/>
    <w:basedOn w:val="DefaultParagraphFont"/>
    <w:link w:val="Quote"/>
    <w:uiPriority w:val="29"/>
    <w:qFormat/>
    <w:rsid w:val="009f1268"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sid w:val="009f1268"/>
    <w:rPr>
      <w:i/>
      <w:iCs/>
      <w:color w:themeColor="accent1" w:themeShade="bf" w:val="2F5496"/>
    </w:rPr>
  </w:style>
  <w:style w:type="character" w:styleId="CytatintensywnyZnak" w:customStyle="1">
    <w:name w:val="Cytat intensywny Znak"/>
    <w:basedOn w:val="DefaultParagraphFont"/>
    <w:link w:val="IntenseQuote"/>
    <w:uiPriority w:val="30"/>
    <w:qFormat/>
    <w:rsid w:val="009f1268"/>
    <w:rPr>
      <w:i/>
      <w:iCs/>
      <w:color w:themeColor="accent1" w:themeShade="bf" w:val="2F5496"/>
    </w:rPr>
  </w:style>
  <w:style w:type="character" w:styleId="IntenseReference">
    <w:name w:val="Intense Reference"/>
    <w:basedOn w:val="DefaultParagraphFont"/>
    <w:uiPriority w:val="32"/>
    <w:qFormat/>
    <w:rsid w:val="009f1268"/>
    <w:rPr>
      <w:b/>
      <w:bCs/>
      <w:smallCaps/>
      <w:color w:themeColor="accent1" w:themeShade="bf" w:val="2F5496"/>
      <w:spacing w:val="5"/>
    </w:rPr>
  </w:style>
  <w:style w:type="character" w:styleId="NagwekZnak" w:customStyle="1">
    <w:name w:val="Nagłówek Znak"/>
    <w:basedOn w:val="DefaultParagraphFont"/>
    <w:uiPriority w:val="99"/>
    <w:qFormat/>
    <w:rsid w:val="009f1268"/>
    <w:rPr/>
  </w:style>
  <w:style w:type="character" w:styleId="StopkaZnak" w:customStyle="1">
    <w:name w:val="Stopka Znak"/>
    <w:basedOn w:val="DefaultParagraphFont"/>
    <w:uiPriority w:val="99"/>
    <w:qFormat/>
    <w:rsid w:val="009f1268"/>
    <w:rPr/>
  </w:style>
  <w:style w:type="character" w:styleId="Emphasis">
    <w:name w:val="Emphasis"/>
    <w:basedOn w:val="DefaultParagraphFont"/>
    <w:uiPriority w:val="20"/>
    <w:qFormat/>
    <w:rsid w:val="00236043"/>
    <w:rPr>
      <w:i/>
      <w:iCs/>
    </w:rPr>
  </w:style>
  <w:style w:type="character" w:styleId="PageNumber">
    <w:name w:val="page number"/>
    <w:basedOn w:val="DefaultParagraphFont"/>
    <w:uiPriority w:val="99"/>
    <w:semiHidden/>
    <w:unhideWhenUsed/>
    <w:rsid w:val="007b36a5"/>
    <w:rPr/>
  </w:style>
  <w:style w:type="character" w:styleId="Hyperlink">
    <w:name w:val="Hyperlink"/>
    <w:basedOn w:val="DefaultParagraphFont"/>
    <w:uiPriority w:val="99"/>
    <w:unhideWhenUsed/>
    <w:rsid w:val="00312fd0"/>
    <w:rPr>
      <w:color w:themeColor="hyperlink" w:val="0563C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312fd0"/>
    <w:rPr>
      <w:color w:val="605E5C"/>
      <w:shd w:fill="E1DFDD" w:val="clear"/>
    </w:rPr>
  </w:style>
  <w:style w:type="character" w:styleId="TekstkomentarzaZnak" w:customStyle="1">
    <w:name w:val="Tekst komentarza Znak"/>
    <w:basedOn w:val="DefaultParagraphFont"/>
    <w:link w:val="CommentText"/>
    <w:uiPriority w:val="99"/>
    <w:qFormat/>
    <w:rPr>
      <w:rFonts w:ascii="Montserrat" w:hAnsi="Montserrat"/>
      <w:sz w:val="20"/>
      <w:szCs w:val="20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qFormat/>
    <w:rPr>
      <w:sz w:val="16"/>
      <w:szCs w:val="16"/>
    </w:rPr>
  </w:style>
  <w:style w:type="character" w:styleId="TematkomentarzaZnak" w:customStyle="1">
    <w:name w:val="Temat komentarza Znak"/>
    <w:basedOn w:val="TekstkomentarzaZnak"/>
    <w:link w:val="annotationsubject"/>
    <w:uiPriority w:val="99"/>
    <w:semiHidden/>
    <w:qFormat/>
    <w:rsid w:val="00ff56da"/>
    <w:rPr>
      <w:rFonts w:ascii="Montserrat" w:hAnsi="Montserrat"/>
      <w:b/>
      <w:bCs/>
      <w:sz w:val="20"/>
      <w:szCs w:val="20"/>
      <w:lang w:val="en-US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Title">
    <w:name w:val="Title"/>
    <w:basedOn w:val="Normal"/>
    <w:next w:val="Normal"/>
    <w:link w:val="TytuZnak"/>
    <w:uiPriority w:val="10"/>
    <w:qFormat/>
    <w:rsid w:val="00236043"/>
    <w:pPr>
      <w:spacing w:lineRule="auto" w:line="240" w:before="0" w:after="80"/>
      <w:contextualSpacing/>
    </w:pPr>
    <w:rPr>
      <w:rFonts w:ascii="Degular Display Semibold" w:hAnsi="Degular Display Semibold" w:eastAsia="" w:cs="Times New Roman (Headings CS)" w:eastAsiaTheme="majorEastAsia"/>
      <w:b/>
      <w:bCs/>
      <w:caps/>
      <w:color w:val="09142A"/>
      <w:spacing w:val="20"/>
      <w:kern w:val="2"/>
      <w:sz w:val="72"/>
      <w:szCs w:val="58"/>
    </w:rPr>
  </w:style>
  <w:style w:type="paragraph" w:styleId="Subtitle">
    <w:name w:val="Subtitle"/>
    <w:basedOn w:val="Normal"/>
    <w:next w:val="Normal"/>
    <w:link w:val="PodtytuZnak"/>
    <w:uiPriority w:val="11"/>
    <w:qFormat/>
    <w:rsid w:val="002d753e"/>
    <w:pPr>
      <w:spacing w:lineRule="auto" w:line="240"/>
    </w:pPr>
    <w:rPr>
      <w:rFonts w:ascii="Degular Display Semibold" w:hAnsi="Degular Display Semibold" w:eastAsia="" w:cs="Times New Roman (Headings CS)" w:eastAsiaTheme="majorEastAsia"/>
      <w:b/>
      <w:bCs/>
      <w:color w:val="09142A"/>
      <w:spacing w:val="15"/>
      <w:sz w:val="32"/>
      <w:szCs w:val="34"/>
    </w:rPr>
  </w:style>
  <w:style w:type="paragraph" w:styleId="Quote">
    <w:name w:val="Quote"/>
    <w:basedOn w:val="Normal"/>
    <w:next w:val="Normal"/>
    <w:link w:val="CytatZnak"/>
    <w:uiPriority w:val="29"/>
    <w:qFormat/>
    <w:rsid w:val="009f1268"/>
    <w:pPr>
      <w:spacing w:before="160" w:after="160"/>
      <w:jc w:val="center"/>
    </w:pPr>
    <w:rPr>
      <w:i/>
      <w:iCs/>
      <w:color w:themeColor="text1" w:themeTint="bf" w:val="404040"/>
    </w:rPr>
  </w:style>
  <w:style w:type="paragraph" w:styleId="ListParagraph">
    <w:name w:val="List Paragraph"/>
    <w:basedOn w:val="Normal"/>
    <w:uiPriority w:val="34"/>
    <w:qFormat/>
    <w:rsid w:val="009f1268"/>
    <w:pPr>
      <w:spacing w:before="0" w:after="160"/>
      <w:ind w:start="720"/>
      <w:contextualSpacing/>
    </w:pPr>
    <w:rPr/>
  </w:style>
  <w:style w:type="paragraph" w:styleId="IntenseQuote">
    <w:name w:val="Intense Quote"/>
    <w:basedOn w:val="Normal"/>
    <w:next w:val="Normal"/>
    <w:link w:val="CytatintensywnyZnak"/>
    <w:uiPriority w:val="30"/>
    <w:qFormat/>
    <w:rsid w:val="009f126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start="864" w:end="864"/>
      <w:jc w:val="center"/>
    </w:pPr>
    <w:rPr>
      <w:i/>
      <w:iCs/>
      <w:color w:themeColor="accent1" w:themeShade="bf" w:val="2F5496"/>
    </w:rPr>
  </w:style>
  <w:style w:type="paragraph" w:styleId="Gwkaistopka">
    <w:name w:val="Główka i stopka"/>
    <w:basedOn w:val="Normal"/>
    <w:qFormat/>
    <w:pPr/>
    <w:rPr/>
  </w:style>
  <w:style w:type="paragraph" w:styleId="Header">
    <w:name w:val="header"/>
    <w:basedOn w:val="Normal"/>
    <w:link w:val="NagwekZnak"/>
    <w:uiPriority w:val="99"/>
    <w:unhideWhenUsed/>
    <w:rsid w:val="009f1268"/>
    <w:pPr>
      <w:tabs>
        <w:tab w:val="clear" w:pos="1304"/>
        <w:tab w:val="center" w:pos="4819" w:leader="none"/>
        <w:tab w:val="right" w:pos="9638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StopkaZnak"/>
    <w:uiPriority w:val="99"/>
    <w:unhideWhenUsed/>
    <w:rsid w:val="009f1268"/>
    <w:pPr>
      <w:tabs>
        <w:tab w:val="clear" w:pos="1304"/>
        <w:tab w:val="center" w:pos="4819" w:leader="none"/>
        <w:tab w:val="right" w:pos="9638" w:leader="none"/>
      </w:tabs>
      <w:spacing w:lineRule="auto" w:line="240" w:before="0" w:after="0"/>
    </w:pPr>
    <w:rPr/>
  </w:style>
  <w:style w:type="paragraph" w:styleId="NoSpacing">
    <w:name w:val="No Spacing"/>
    <w:uiPriority w:val="1"/>
    <w:qFormat/>
    <w:rsid w:val="00236043"/>
    <w:pPr>
      <w:widowControl/>
      <w:bidi w:val="0"/>
      <w:spacing w:lineRule="auto" w:line="240" w:before="0" w:after="0"/>
      <w:jc w:val="start"/>
    </w:pPr>
    <w:rPr>
      <w:rFonts w:ascii="Montserrat" w:hAnsi="Montserrat" w:eastAsia="Aptos" w:cs="" w:cstheme="minorBidi" w:eastAsiaTheme="minorHAnsi"/>
      <w:color w:val="auto"/>
      <w:kern w:val="2"/>
      <w:sz w:val="21"/>
      <w:szCs w:val="21"/>
      <w:lang w:val="da-DK" w:eastAsia="en-US" w:bidi="ar-SA"/>
      <w14:ligatures w14:val="standardContextual"/>
    </w:rPr>
  </w:style>
  <w:style w:type="paragraph" w:styleId="Brdneg" w:customStyle="1">
    <w:name w:val="Brød neg"/>
    <w:basedOn w:val="Normal"/>
    <w:uiPriority w:val="99"/>
    <w:qFormat/>
    <w:rsid w:val="00f66ecf"/>
    <w:pPr>
      <w:spacing w:lineRule="atLeast" w:line="260" w:before="0" w:after="0"/>
      <w:textAlignment w:val="center"/>
    </w:pPr>
    <w:rPr>
      <w:rFonts w:cs="Montserrat"/>
      <w:color w:val="FFFFFF"/>
      <w:kern w:val="0"/>
      <w:sz w:val="18"/>
      <w:szCs w:val="18"/>
    </w:rPr>
  </w:style>
  <w:style w:type="paragraph" w:styleId="Brd" w:customStyle="1">
    <w:name w:val="Brød"/>
    <w:basedOn w:val="Normal"/>
    <w:uiPriority w:val="99"/>
    <w:qFormat/>
    <w:rsid w:val="00760e62"/>
    <w:pPr>
      <w:spacing w:lineRule="atLeast" w:line="260" w:before="0" w:after="0"/>
      <w:textAlignment w:val="center"/>
    </w:pPr>
    <w:rPr>
      <w:rFonts w:cs="Montserrat"/>
      <w:color w:val="00162B"/>
      <w:kern w:val="0"/>
      <w:sz w:val="18"/>
      <w:szCs w:val="18"/>
    </w:rPr>
  </w:style>
  <w:style w:type="paragraph" w:styleId="CommentText">
    <w:name w:val="annotation text"/>
    <w:basedOn w:val="Normal"/>
    <w:link w:val="TekstkomentarzaZnak"/>
    <w:uiPriority w:val="99"/>
    <w:unhideWhenUsed/>
    <w:pPr>
      <w:spacing w:lineRule="auto" w:line="240"/>
    </w:pPr>
    <w:rPr/>
  </w:style>
  <w:style w:type="paragraph" w:styleId="annotationsubject">
    <w:name w:val="annotation subject"/>
    <w:basedOn w:val="CommentText"/>
    <w:next w:val="CommentText"/>
    <w:link w:val="TematkomentarzaZnak"/>
    <w:uiPriority w:val="99"/>
    <w:semiHidden/>
    <w:unhideWhenUsed/>
    <w:qFormat/>
    <w:rsid w:val="00ff56da"/>
    <w:pPr/>
    <w:rPr>
      <w:b/>
      <w:bCs/>
    </w:rPr>
  </w:style>
  <w:style w:type="paragraph" w:styleId="Revision">
    <w:name w:val="Revision"/>
    <w:uiPriority w:val="99"/>
    <w:semiHidden/>
    <w:qFormat/>
    <w:rsid w:val="00ed0aa0"/>
    <w:pPr>
      <w:widowControl/>
      <w:bidi w:val="0"/>
      <w:spacing w:lineRule="auto" w:line="240" w:before="0" w:after="0"/>
      <w:jc w:val="start"/>
    </w:pPr>
    <w:rPr>
      <w:rFonts w:ascii="Montserrat" w:hAnsi="Montserrat" w:eastAsia="Aptos" w:cs="" w:cstheme="minorBidi" w:eastAsiaTheme="minorHAnsi"/>
      <w:color w:val="auto"/>
      <w:kern w:val="2"/>
      <w:sz w:val="20"/>
      <w:szCs w:val="20"/>
      <w:lang w:val="en-US" w:eastAsia="en-US" w:bidi="ar-SA"/>
      <w14:ligatures w14:val="standardContextual"/>
    </w:rPr>
  </w:style>
  <w:style w:type="paragraph" w:styleId="Zawartoramki">
    <w:name w:val="Zawartość ramki"/>
    <w:basedOn w:val="Normal"/>
    <w:qFormat/>
    <w:pPr/>
    <w:rPr/>
  </w:style>
  <w:style w:type="numbering" w:styleId="Bezlisty" w:default="1">
    <w:name w:val="Bez listy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uiPriority w:val="39"/>
    <w:rsid w:val="00096bb4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<Relationship Id="rId11" Type="http://schemas.openxmlformats.org/officeDocument/2006/relationships/customXml" Target="../customXml/item1.xml"/><Relationship Id="rId12" Type="http://schemas.openxmlformats.org/officeDocument/2006/relationships/customXml" Target="../customXml/item2.xml"/><Relationship Id="rId13" Type="http://schemas.openxmlformats.org/officeDocument/2006/relationships/customXml" Target="../customXml/item3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xmlns:r="http://schemas.openxmlformats.org/officeDocument/2006/relationships" name="Office-tema">
  <a:themeElements>
    <a:clrScheme name="Office 2013 - 2022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_rels/item2.xml.rels><?xml version="1.0" encoding="UTF-8"?>
<Relationships xmlns="http://schemas.openxmlformats.org/package/2006/relationships"><Relationship Id="rId1" Type="http://schemas.openxmlformats.org/officeDocument/2006/relationships/customXmlProps" Target="itemProps2.xml"/>
</Relationships>
</file>

<file path=customXml/_rels/item3.xml.rels><?xml version="1.0" encoding="UTF-8"?>
<Relationships xmlns="http://schemas.openxmlformats.org/package/2006/relationships"><Relationship Id="rId1" Type="http://schemas.openxmlformats.org/officeDocument/2006/relationships/customXmlProps" Target="itemProps3.xml"/>
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767703CE878014F89F059A872DEC837" ma:contentTypeVersion="20" ma:contentTypeDescription="Create a new document." ma:contentTypeScope="" ma:versionID="89b41d8babc03568922f08ca2c339973">
  <xsd:schema xmlns:xsd="http://www.w3.org/2001/XMLSchema" xmlns:xs="http://www.w3.org/2001/XMLSchema" xmlns:p="http://schemas.microsoft.com/office/2006/metadata/properties" xmlns:ns2="05075a19-ac74-4ae2-a3b8-c34aba67712b" xmlns:ns3="f4ccc282-2dfd-4717-9422-a18ce5b866f1" targetNamespace="http://schemas.microsoft.com/office/2006/metadata/properties" ma:root="true" ma:fieldsID="405381b0544b912c0bf4a4b229401f97" ns2:_="" ns3:_="">
    <xsd:import namespace="05075a19-ac74-4ae2-a3b8-c34aba67712b"/>
    <xsd:import namespace="f4ccc282-2dfd-4717-9422-a18ce5b866f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IntendedUse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075a19-ac74-4ae2-a3b8-c34aba67712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fc62e3ab-7e51-41f3-9b74-0222fe40945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IntendedUse" ma:index="26" nillable="true" ma:displayName="Category" ma:default="Internal Use" ma:format="Dropdown" ma:internalName="IntendedUse">
      <xsd:simpleType>
        <xsd:restriction base="dms:Note">
          <xsd:maxLength value="255"/>
        </xsd:restriction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ccc282-2dfd-4717-9422-a18ce5b866f1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5f76dc6f-6329-417e-9d91-a7186f3156e1}" ma:internalName="TaxCatchAll" ma:showField="CatchAllData" ma:web="f4ccc282-2dfd-4717-9422-a18ce5b866f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075a19-ac74-4ae2-a3b8-c34aba67712b">
      <Terms xmlns="http://schemas.microsoft.com/office/infopath/2007/PartnerControls"/>
    </lcf76f155ced4ddcb4097134ff3c332f>
    <IntendedUse xmlns="05075a19-ac74-4ae2-a3b8-c34aba67712b">Internal Use</IntendedUse>
    <TaxCatchAll xmlns="f4ccc282-2dfd-4717-9422-a18ce5b866f1" xsi:nil="true"/>
  </documentManagement>
</p:properties>
</file>

<file path=customXml/itemProps1.xml><?xml version="1.0" encoding="utf-8"?>
<ds:datastoreItem xmlns:ds="http://schemas.openxmlformats.org/officeDocument/2006/customXml" ds:itemID="{1459A669-AE8E-43B3-8D91-724527EB027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5075a19-ac74-4ae2-a3b8-c34aba67712b"/>
    <ds:schemaRef ds:uri="f4ccc282-2dfd-4717-9422-a18ce5b866f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223577A-0C9F-4670-A9B0-883B5CC7336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72AB25F-869D-4C31-94CF-33B71D311F1A}">
  <ds:schemaRefs>
    <ds:schemaRef ds:uri="http://schemas.microsoft.com/office/2006/metadata/properties"/>
    <ds:schemaRef ds:uri="http://schemas.microsoft.com/office/infopath/2007/PartnerControls"/>
    <ds:schemaRef ds:uri="05075a19-ac74-4ae2-a3b8-c34aba67712b"/>
    <ds:schemaRef ds:uri="f4ccc282-2dfd-4717-9422-a18ce5b866f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Application>LibreOffice/26.2.6.3$Windows_X86_64 LibreOffice_project/8221e31b3ac356a1623c672912a3d2b492f7e3d1</Application>
  <AppVersion>15.0000</AppVersion>
  <Pages>3</Pages>
  <Words>587</Words>
  <Characters>4069</Characters>
  <CharactersWithSpaces>4645</CharactersWithSpaces>
  <Paragraphs>23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2026-10-05T18:00:00Z</dcterms:created>
  <dc:creator>Tina Buhelt</dc:creator>
  <dc:description/>
  <dc:language>pl-PL</dc:language>
  <cp:lastModifiedBy/>
  <dcterms:modified xsi:type="dcterms:W3CDTF">2026-10-09T13:48:29Z</dcterms:modified>
  <cp:revision>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mplianceAssetId">
    <vt:lpwstr/>
  </property>
  <property fmtid="{D5CDD505-2E9C-101B-9397-08002B2CF9AE}" pid="3" name="ContentTypeId">
    <vt:lpwstr>0x0101003767703CE878014F89F059A872DEC837</vt:lpwstr>
  </property>
  <property fmtid="{D5CDD505-2E9C-101B-9397-08002B2CF9AE}" pid="4" name="MediaServiceImageTags">
    <vt:lpwstr/>
  </property>
  <property fmtid="{D5CDD505-2E9C-101B-9397-08002B2CF9AE}" pid="5" name="TemplateUrl">
    <vt:lpwstr/>
  </property>
  <property fmtid="{D5CDD505-2E9C-101B-9397-08002B2CF9AE}" pid="6" name="TriggerFlowInfo">
    <vt:lpwstr/>
  </property>
  <property fmtid="{D5CDD505-2E9C-101B-9397-08002B2CF9AE}" pid="7" name="_ExtendedDescription">
    <vt:lpwstr/>
  </property>
  <property fmtid="{D5CDD505-2E9C-101B-9397-08002B2CF9AE}" pid="8" name="docLang">
    <vt:lpwstr>en</vt:lpwstr>
  </property>
  <property fmtid="{D5CDD505-2E9C-101B-9397-08002B2CF9AE}" pid="9" name="xd_ProgID">
    <vt:lpwstr/>
  </property>
  <property fmtid="{D5CDD505-2E9C-101B-9397-08002B2CF9AE}" pid="10" name="xd_Signature">
    <vt:bool>0</vt:bool>
  </property>
</Properties>
</file>