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Narrow" w:hAnsi="Arial Narrow" w:eastAsia="Arial Narrow" w:cs="Arial Narrow"/>
          <w:b/>
          <w:bCs/>
          <w:sz w:val="28"/>
          <w:szCs w:val="28"/>
          <w:lang w:val="pl-PL"/>
        </w:rPr>
      </w:pPr>
      <w:r>
        <w:rPr>
          <w:rFonts w:eastAsia="Arial Narrow" w:cs="Arial Narrow" w:ascii="Arial Narrow" w:hAnsi="Arial Narrow"/>
          <w:b/>
          <w:bCs/>
          <w:sz w:val="28"/>
          <w:szCs w:val="28"/>
          <w:lang w:val="pl-PL"/>
        </w:rPr>
      </w:r>
    </w:p>
    <w:p>
      <w:pPr>
        <w:pStyle w:val="Normal"/>
        <w:spacing w:lineRule="auto" w:line="240" w:before="0" w:after="0"/>
        <w:jc w:val="center"/>
        <w:rPr>
          <w:rFonts w:ascii="Arial Narrow" w:hAnsi="Arial Narrow" w:eastAsia="Arial Narrow" w:cs="Arial Narrow"/>
          <w:b/>
          <w:bCs/>
          <w:sz w:val="28"/>
          <w:szCs w:val="28"/>
          <w:lang w:val="pl-PL"/>
        </w:rPr>
      </w:pPr>
      <w:r>
        <w:rPr>
          <w:rFonts w:eastAsia="Arial Narrow" w:cs="Arial Narrow" w:ascii="Arial Narrow" w:hAnsi="Arial Narrow"/>
          <w:b/>
          <w:bCs/>
          <w:sz w:val="28"/>
          <w:szCs w:val="28"/>
          <w:lang w:val="pl-PL"/>
        </w:rPr>
        <w:t>Veeam uruchamia globalny program dla dostawców usług, który zapewni klientom większą kontrolę nad suwerennością danych</w:t>
      </w:r>
    </w:p>
    <w:p>
      <w:pPr>
        <w:pStyle w:val="Normal"/>
        <w:spacing w:lineRule="auto" w:line="240" w:before="0" w:after="0"/>
        <w:jc w:val="center"/>
        <w:rPr>
          <w:rFonts w:ascii="Arial Narrow" w:hAnsi="Arial Narrow" w:eastAsia="Arial Narrow" w:cs="Arial Narrow"/>
          <w:i/>
          <w:iCs/>
          <w:color w:themeColor="text1" w:val="000000"/>
          <w:lang w:val="pl-PL"/>
        </w:rPr>
      </w:pPr>
      <w:r>
        <w:rPr>
          <w:rFonts w:eastAsia="Arial Narrow" w:cs="Arial Narrow" w:ascii="Arial Narrow" w:hAnsi="Arial Narrow"/>
          <w:i/>
          <w:iCs/>
          <w:color w:themeColor="text1" w:val="000000"/>
          <w:lang w:val="pl-PL"/>
        </w:rPr>
      </w:r>
    </w:p>
    <w:p>
      <w:pPr>
        <w:pStyle w:val="Normal"/>
        <w:spacing w:lineRule="auto" w:line="240" w:before="0" w:after="0"/>
        <w:jc w:val="center"/>
        <w:rPr>
          <w:rFonts w:ascii="Arial Narrow" w:hAnsi="Arial Narrow" w:eastAsia="Arial Narrow" w:cs="Arial Narrow"/>
          <w:i/>
          <w:iCs/>
          <w:color w:themeColor="text1" w:val="000000"/>
          <w:lang w:val="pl-PL"/>
        </w:rPr>
      </w:pPr>
      <w:r>
        <w:rPr>
          <w:rFonts w:eastAsia="Arial Narrow" w:cs="Arial Narrow" w:ascii="Arial Narrow" w:hAnsi="Arial Narrow"/>
          <w:i/>
          <w:iCs/>
          <w:color w:themeColor="text1" w:val="000000"/>
          <w:lang w:val="pl-PL"/>
        </w:rPr>
        <w:t>Nowy program łączy mechanizmy Veeam wspierające suwerenność danych z wiedzą i doświadczeniem lokalnych dostawców usług, dzięki czemu pomaga firmom spełniać wymagania dotyczące kontroli nad danymi.</w:t>
      </w:r>
    </w:p>
    <w:p>
      <w:pPr>
        <w:pStyle w:val="Normal"/>
        <w:spacing w:lineRule="auto" w:line="240" w:before="0" w:after="0"/>
        <w:jc w:val="both"/>
        <w:rPr>
          <w:rFonts w:ascii="Arial Narrow" w:hAnsi="Arial Narrow" w:eastAsia="Arial Narrow" w:cs="Arial Narrow"/>
          <w:b/>
          <w:bCs/>
          <w:color w:themeColor="text1" w:val="000000"/>
          <w:sz w:val="28"/>
          <w:szCs w:val="28"/>
          <w:lang w:val="pl-PL"/>
        </w:rPr>
      </w:pPr>
      <w:r>
        <w:rPr>
          <w:rFonts w:eastAsia="Arial Narrow" w:cs="Arial Narrow" w:ascii="Arial Narrow" w:hAnsi="Arial Narrow"/>
          <w:b/>
          <w:bCs/>
          <w:color w:themeColor="text1" w:val="000000"/>
          <w:sz w:val="28"/>
          <w:szCs w:val="28"/>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b/>
          <w:bCs/>
          <w:color w:themeColor="text1" w:val="000000"/>
          <w:sz w:val="22"/>
          <w:szCs w:val="22"/>
          <w:lang w:val="pl-PL"/>
        </w:rPr>
        <w:t>SEATTLE, Waszyngton, 20 października 2026 r.</w:t>
      </w:r>
      <w:r>
        <w:rPr>
          <w:rFonts w:eastAsia="Arial Narrow" w:cs="Arial Narrow" w:ascii="Arial Narrow" w:hAnsi="Arial Narrow"/>
          <w:color w:themeColor="text1" w:val="000000"/>
          <w:sz w:val="22"/>
          <w:szCs w:val="22"/>
          <w:lang w:val="pl-PL"/>
        </w:rPr>
        <w:t xml:space="preserve"> – Firma </w:t>
      </w:r>
      <w:hyperlink r:id="rId2">
        <w:r>
          <w:rPr>
            <w:rStyle w:val="Hyperlink"/>
            <w:rFonts w:eastAsia="Arial Narrow" w:cs="Arial Narrow" w:ascii="Arial Narrow" w:hAnsi="Arial Narrow"/>
            <w:sz w:val="22"/>
            <w:szCs w:val="22"/>
            <w:lang w:val="pl-PL"/>
          </w:rPr>
          <w:t>Veeam Software</w:t>
        </w:r>
      </w:hyperlink>
      <w:r>
        <w:rPr>
          <w:rFonts w:eastAsia="Arial Narrow" w:cs="Arial Narrow" w:ascii="Arial Narrow" w:hAnsi="Arial Narrow"/>
          <w:color w:themeColor="text1" w:val="000000"/>
          <w:sz w:val="22"/>
          <w:szCs w:val="22"/>
          <w:lang w:val="pl-PL"/>
        </w:rPr>
        <w:t xml:space="preserve">, </w:t>
      </w:r>
      <w:r>
        <w:rPr>
          <w:rFonts w:ascii="Arial Narrow" w:hAnsi="Arial Narrow"/>
          <w:color w:themeColor="text1" w:val="000000"/>
          <w:sz w:val="22"/>
          <w:szCs w:val="22"/>
          <w:lang w:val="pl-PL"/>
        </w:rPr>
        <w:t xml:space="preserve">zaufany partner w obszarze bezpieczeństwa danych i AI, </w:t>
      </w:r>
      <w:r>
        <w:rPr>
          <w:rFonts w:eastAsia="Arial Narrow" w:cs="Arial Narrow" w:ascii="Arial Narrow" w:hAnsi="Arial Narrow"/>
          <w:color w:themeColor="text1" w:val="000000"/>
          <w:sz w:val="22"/>
          <w:szCs w:val="22"/>
          <w:lang w:val="pl-PL"/>
        </w:rPr>
        <w:t>uruchomiła wieloetapową globalną inicjatywę Veeam Sovereign Service Providers Program. Jej celem jest ułatwienie klientom znalezienia zaufanych lokalnych dostawców usług, którzy zapewniają operacyjną suwerenność informacji połączoną z rozwiązaniami Veeam do ochrony danych, zwiększania odporności na cyberzagrożenia i zapewniania bezpieczeństwa. Pierwszy etap obejmuje wprowadzenie – w ramach programu Veeam Cloud &amp; Service Provider (VCSP) – nowej kategorii kompetencji: Data Sovereignty Competency. Kolejne elementy programu mają zostać udostępnione jeszcze w tym roku.</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W ramach nowego programu Veeam zapewnia rozwiązania techniczne potrzebne do ochrony danych z uwzględnieniem wymogów suwerenności, a uczestniczący w nim dostawcy wnoszą lokalne modele operacyjne, mechanizmy nadzoru, znajomość przepisów i uwarunkowań prawnych oraz doświadczenie na poszczególnych rynkach. Połączenie tych kompetencji pozwala klientom oceniać rozwiązania pod kątem miejsca przechowywania danych, kontroli nad ich przetwarzaniem, zasad dostępu i właściwej jurysdykcji prawnej, bez rezygnacji z odporności na cyberzagrożenia ani możliwości odzyskania danych.</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Wymogi dotyczące suwerenności danych zyskują na znaczeniu, ponieważ rządy i organy regulacyjne wprowadzają lub rozwijają przepisy określające zasady przechowywania danych, dostępu do nich, sprawowania nad nimi kontroli, przenoszenia ich oraz podlegania określonemu porządkowi prawnemu. Jednocześnie niepewność geopolityczna, zależności transgraniczne i szybkie upowszechnianie się sztucznej inteligencji sprawiają, że coraz większej uwagi wymaga kwestia tego, gdzie znajdują się wrażliwe informacje, kto może uzyskać do nich dostęp i jakie przepisy mają do nich zastosowanie. Przedsiębiorstwa, które dotychczas traktowały suwerenność danych jako zagadnienie istotne głównie dla administracji publicznej i branż podlegających szczególnym regulacjom, mogą być coraz częściej zobowiązane do wykazania, że sprawują odpowiednią kontrolę nad swoimi zasobami danych i zapewniają przejrzystość w tym zakresie.</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 xml:space="preserve">– </w:t>
      </w:r>
      <w:r>
        <w:rPr>
          <w:rFonts w:eastAsia="Arial Narrow" w:cs="Arial Narrow" w:ascii="Arial Narrow" w:hAnsi="Arial Narrow"/>
          <w:i/>
          <w:iCs/>
          <w:color w:themeColor="text1" w:val="000000"/>
          <w:sz w:val="22"/>
          <w:szCs w:val="22"/>
          <w:lang w:val="pl-PL"/>
        </w:rPr>
        <w:t>Wymogi dotyczące suwerenności zależą od przepisów, regulacji oraz uwarunkowań operacyjnych obowiązujących w danym regionie, a także od specyfiki konkretnego klienta. Ich spełnienie wymaga zarówno odpowiednich technologii, jak i właściwego sposobu świadczenia usług</w:t>
      </w:r>
      <w:r>
        <w:rPr>
          <w:rFonts w:eastAsia="Arial Narrow" w:cs="Arial Narrow" w:ascii="Arial Narrow" w:hAnsi="Arial Narrow"/>
          <w:color w:themeColor="text1" w:val="000000"/>
          <w:sz w:val="22"/>
          <w:szCs w:val="22"/>
          <w:lang w:val="pl-PL"/>
        </w:rPr>
        <w:t xml:space="preserve"> – powiedziała Michelle Graff, Senior Vice President, Global Partnerships w Veeam. – </w:t>
      </w:r>
      <w:r>
        <w:rPr>
          <w:rFonts w:eastAsia="Arial Narrow" w:cs="Arial Narrow" w:ascii="Arial Narrow" w:hAnsi="Arial Narrow"/>
          <w:i/>
          <w:iCs/>
          <w:color w:themeColor="text1" w:val="000000"/>
          <w:sz w:val="22"/>
          <w:szCs w:val="22"/>
          <w:lang w:val="pl-PL"/>
        </w:rPr>
        <w:t>Veeam Sovereign Service Providers Program łączy te dwa elementy. Veeam zapewnia techniczną podstawę niezawodnej ochrony danych, a zaufani lokalni partnerzy wnoszą odpowiednie modele operacyjne, znajomość zasad zarządzania oraz obecność na danym rynku. Kategoria Data Sovereignty Competency w programie VCSP ułatwia klientom znalezienie dostawców, którzy zainwestowali w oba te obszary.</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 xml:space="preserve">Z </w:t>
      </w:r>
      <w:hyperlink r:id="rId3">
        <w:r>
          <w:rPr>
            <w:rStyle w:val="Hyperlink"/>
            <w:rFonts w:eastAsia="Arial Narrow" w:cs="Arial Narrow" w:ascii="Arial Narrow" w:hAnsi="Arial Narrow"/>
            <w:sz w:val="22"/>
            <w:szCs w:val="22"/>
            <w:lang w:val="pl-PL"/>
          </w:rPr>
          <w:t>przeprowadzonego niedawno badania Veeam</w:t>
        </w:r>
      </w:hyperlink>
      <w:r>
        <w:rPr>
          <w:rFonts w:eastAsia="Arial Narrow" w:cs="Arial Narrow" w:ascii="Arial Narrow" w:hAnsi="Arial Narrow"/>
          <w:color w:themeColor="text1" w:val="000000"/>
          <w:sz w:val="22"/>
          <w:szCs w:val="22"/>
          <w:lang w:val="pl-PL"/>
        </w:rPr>
        <w:t xml:space="preserve"> wynika, że 70 proc. przedsiębiorstw przyznaje, iż w ramach ich procesów wykorzystujących sztuczną inteligencję wrażliwe dane firmowe przetwarzane są bez pełnego nadzoru. Jednocześnie 67 proc. badanych firm informuje, że pracownicy tworzą autonomiczne procesy bazujące na AI, których zespoły IT nie są w stanie w pełni monitorować. W miarę jak sztuczna inteligencja staje się coraz ważniejszym elementem działalności przedsiębiorstw, rośnie znaczenie skutecznego zarządzania danymi, lokalnej kontroli nad nimi oraz niezawodnej ochrony.</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Kategoria Data Sovereignty Competency w programie VCSP ułatwi klientom identyfikowanie dostawców, którzy spełniają określone wymagania dotyczące operacyjnej organizacji usług, uwarunkowań prawnych, aspektów technicznych oraz związanych z zarządzaniem. Ocenie podlegają m.in. lokalne modele operacyjne, mechanizmy kontroli dotyczące jurysdykcji, obecność personelu w danym regionie, procesy zarządzania danymi, nadzór sprawowany przez klientów, a także rozwiązania zapewniające odporność danych na zagrożenia. Uzyskanie tej kategorii potwierdza zdolność dostawcy do spełnienia wymagań programu Veeam, ale nie zastępuje własnej oceny prawnej, regulacyjnej, ryzyka ani zgodności z przepisami, którą musi przeprowadzić klient.</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Podstawę usług świadczonych przez partnerów stanowi obecna funkcjonalność produktów Veeam oraz podejmowane dalsze prace nad funkcjami odpowiadającymi na szybko zmieniające się wymagania regulacyjne dotyczące suwerenności danych. Połączenie tych mechanizmów z kompetencjami operacyjnymi zakwalifikowanych lokalnych dostawców pomoże klientom spełniać obecne wymogi, a jednocześnie przygotować się na coraz mniej przewidywalne otoczenie regulacyjne i geopolityczne.</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Kategoria Data Sovereignty Competency wpisuje się w przyjęte przez Veeam założenie, że klienci powinni mieć swobodę wyboru dostawców i usług odpowiednich do swoich potrzeb. Będzie ona funkcjonować obok pozostałych kategorii kompetencji w ramach programu VCSP. Klienci będą mogli dobierać dostawców na podstawie zakresu ich umiejętności, z uwzględnieniem m.in. suwerenności danych, usług odtwarzania środowisk po awarii (Disaster Recovery as a Service) oraz tworzenia kopii zapasowych poza główną lokalizacją firmy.</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Analitycy Gartnera w raporcie „Hype Cycle for Digital Sovereignty, 2026” napisali: „Suwerenność cyfrowa staje się kluczowym priorytetem na poziomie zarządów, a jej znaczenie rośnie w sytuacji, gdy wydarzenia geopolityczne coraz częściej prowadzą do wykorzystywania dostępu do globalnej infrastruktury, usług i sztucznej inteligencji jako narzędzia nacisku. Brak pełnej kontroli nad wykorzystywanymi rozwiązaniami może sprawić, że pojedyncze działanie o charakterze geopolitycznym doprowadzi do wstrzymania działalności firmy z dnia na dzień.”</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 xml:space="preserve">– </w:t>
      </w:r>
      <w:r>
        <w:rPr>
          <w:rFonts w:eastAsia="Arial Narrow" w:cs="Arial Narrow" w:ascii="Arial Narrow" w:hAnsi="Arial Narrow"/>
          <w:i/>
          <w:iCs/>
          <w:color w:themeColor="text1" w:val="000000"/>
          <w:sz w:val="22"/>
          <w:szCs w:val="22"/>
          <w:lang w:val="pl-PL"/>
        </w:rPr>
        <w:t>W Europie suwerenność danych przestała być wyłącznie kwestią zgodności z przepisami i stała się strategicznym wymogiem biznesowym</w:t>
      </w:r>
      <w:r>
        <w:rPr>
          <w:rFonts w:eastAsia="Arial Narrow" w:cs="Arial Narrow" w:ascii="Arial Narrow" w:hAnsi="Arial Narrow"/>
          <w:color w:themeColor="text1" w:val="000000"/>
          <w:sz w:val="22"/>
          <w:szCs w:val="22"/>
          <w:lang w:val="pl-PL"/>
        </w:rPr>
        <w:t xml:space="preserve"> – powiedział Tim Pfaelzer, General Manager and Senior Vice President, EMEA w Veeam. – </w:t>
      </w:r>
      <w:r>
        <w:rPr>
          <w:rFonts w:eastAsia="Arial Narrow" w:cs="Arial Narrow" w:ascii="Arial Narrow" w:hAnsi="Arial Narrow"/>
          <w:i/>
          <w:iCs/>
          <w:color w:themeColor="text1" w:val="000000"/>
          <w:sz w:val="22"/>
          <w:szCs w:val="22"/>
          <w:lang w:val="pl-PL"/>
        </w:rPr>
        <w:t>Z powodu nieustannego rozszerzania regulacji i rozwoju inicjatyw wykorzystujących sztuczną inteligencję firmy potrzebują większej pewności co do tego, gdzie znajdują się ich dane, kto może uzyskać do nich dostęp oraz jakie przepisy regulują ich wykorzystanie. Rozwiązania Veeam w połączeniu z lokalnymi możliwościami operacyjnymi zaufanych dostawców usług dają klientom praktyczny sposób na zwiększenie kontroli nad danymi, bez osłabiania ich ochrony ani możliwości przywracania środowisk do pracy.</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lang w:val="pl-PL"/>
        </w:rPr>
      </w:pPr>
      <w:r>
        <w:rPr>
          <w:rFonts w:eastAsia="Arial Narrow" w:cs="Arial Narrow" w:ascii="Arial Narrow" w:hAnsi="Arial Narrow"/>
          <w:color w:themeColor="text1" w:val="000000"/>
          <w:sz w:val="22"/>
          <w:szCs w:val="22"/>
          <w:lang w:val="pl-PL"/>
        </w:rPr>
        <w:t xml:space="preserve">– </w:t>
      </w:r>
      <w:r>
        <w:rPr>
          <w:rFonts w:eastAsia="Arial Narrow" w:cs="Arial Narrow" w:ascii="Arial Narrow" w:hAnsi="Arial Narrow"/>
          <w:i/>
          <w:iCs/>
          <w:color w:themeColor="text1" w:val="000000"/>
          <w:sz w:val="22"/>
          <w:szCs w:val="22"/>
          <w:lang w:val="pl-PL"/>
        </w:rPr>
        <w:t>Suwerenność nie sprowadza się do zaznaczenia odpowiedniej pozycji na liście kontrolnej. Trzeba wykazać, gdzie dane podlegają jurysdykcji, gdzie są przechowywane oraz kto sprawuje nad nimi kontrolę – w sposób weryfikowalny na każdym etapie</w:t>
      </w:r>
      <w:r>
        <w:rPr>
          <w:rFonts w:eastAsia="Arial Narrow" w:cs="Arial Narrow" w:ascii="Arial Narrow" w:hAnsi="Arial Narrow"/>
          <w:color w:themeColor="text1" w:val="000000"/>
          <w:sz w:val="22"/>
          <w:szCs w:val="22"/>
          <w:lang w:val="pl-PL"/>
        </w:rPr>
        <w:t xml:space="preserve"> – powiedział Ahsan Khan, Chief Technology Officer w ThinkOn. – </w:t>
      </w:r>
      <w:r>
        <w:rPr>
          <w:rFonts w:eastAsia="Arial Narrow" w:cs="Arial Narrow" w:ascii="Arial Narrow" w:hAnsi="Arial Narrow"/>
          <w:i/>
          <w:iCs/>
          <w:color w:themeColor="text1" w:val="000000"/>
          <w:sz w:val="22"/>
          <w:szCs w:val="22"/>
          <w:lang w:val="pl-PL"/>
        </w:rPr>
        <w:t>Przyznane nam wyróżnienie potwierdza standardy, które stosujemy w najbardziej restrykcyjnych środowiskach regulacyjnych w Kanadzie. Te same zasady kierują naszymi działaniami na rzecz klientów podlegających regulacjom na wszystkich obsługiwanych przez nas rynkach.</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lang w:val="pl-PL"/>
        </w:rPr>
      </w:pPr>
      <w:r>
        <w:rPr>
          <w:rFonts w:eastAsia="Arial Narrow" w:cs="Arial Narrow" w:ascii="Arial Narrow" w:hAnsi="Arial Narrow"/>
          <w:color w:themeColor="text1" w:val="000000"/>
          <w:sz w:val="22"/>
          <w:szCs w:val="22"/>
          <w:lang w:val="pl-PL"/>
        </w:rPr>
        <w:t>Do kategorii Data Sovereignty Competency będą kwalifikowani wyłącznie dostawcy spełniający określone wymagania. Klienci będą mogli znaleźć listę zatwierdzonych partnerów za pośrednictwem profili w katalogu partnerów Veeam, zawierających informacje o ich kompetencjach w zakresie suwerenności danych, zasięgu geograficznym oraz statusie w programie.</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en-GB"/>
        </w:rPr>
        <w:t xml:space="preserve">Kategoria VCSP Data Sovereignty Competency stanowi pierwszy etap programu Veeam Sovereign Service Providers. </w:t>
      </w:r>
      <w:r>
        <w:rPr>
          <w:rFonts w:eastAsia="Arial Narrow" w:cs="Arial Narrow" w:ascii="Arial Narrow" w:hAnsi="Arial Narrow"/>
          <w:color w:themeColor="text1" w:val="000000"/>
          <w:sz w:val="22"/>
          <w:szCs w:val="22"/>
          <w:lang w:val="pl-PL"/>
        </w:rPr>
        <w:t>Obecnie trwają prace z zespołami produktowymi i wybranymi dostawcami usług nad jego rozszerzeniem, a kolejne elementy programu Veeam planuje wprowadzić jeszcze w tym roku. Szczegóły dotyczące następnych inicjatyw zostaną ogłoszone, gdy będą gotowe do wprowadzenia na rynek.</w:t>
      </w:r>
    </w:p>
    <w:p>
      <w:pPr>
        <w:pStyle w:val="Normal"/>
        <w:spacing w:lineRule="auto" w:line="240" w:before="0" w:after="0"/>
        <w:jc w:val="both"/>
        <w:rPr>
          <w:rFonts w:ascii="Arial Narrow" w:hAnsi="Arial Narrow" w:eastAsia="Arial Narrow" w:cs="Arial Narrow"/>
          <w:i/>
          <w:iCs/>
          <w:sz w:val="22"/>
          <w:szCs w:val="22"/>
          <w:lang w:val="pl-PL"/>
        </w:rPr>
      </w:pPr>
      <w:r>
        <w:rPr>
          <w:rFonts w:eastAsia="Arial Narrow" w:cs="Arial Narrow" w:ascii="Arial Narrow" w:hAnsi="Arial Narrow"/>
          <w:i/>
          <w:iCs/>
          <w:sz w:val="22"/>
          <w:szCs w:val="22"/>
          <w:lang w:val="pl-PL"/>
        </w:rPr>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t xml:space="preserve">Więcej informacji dostępnych jest na stronie </w:t>
      </w:r>
      <w:hyperlink r:id="rId4">
        <w:r>
          <w:rPr>
            <w:rStyle w:val="Hyperlink"/>
            <w:rFonts w:eastAsia="Arial Narrow" w:cs="Arial Narrow" w:ascii="Arial Narrow" w:hAnsi="Arial Narrow"/>
            <w:sz w:val="22"/>
            <w:szCs w:val="22"/>
            <w:lang w:val="pl-PL"/>
          </w:rPr>
          <w:t>www.veeam.com</w:t>
        </w:r>
      </w:hyperlink>
      <w:r>
        <w:rPr>
          <w:rFonts w:eastAsia="Arial Narrow" w:cs="Arial Narrow" w:ascii="Arial Narrow" w:hAnsi="Arial Narrow"/>
          <w:color w:themeColor="text1" w:val="000000"/>
          <w:sz w:val="22"/>
          <w:szCs w:val="22"/>
          <w:lang w:val="pl-PL"/>
        </w:rPr>
        <w:t>.</w:t>
      </w:r>
    </w:p>
    <w:p>
      <w:pPr>
        <w:pStyle w:val="Normal"/>
        <w:spacing w:lineRule="auto" w:line="240" w:before="0" w:after="0"/>
        <w:jc w:val="both"/>
        <w:rPr>
          <w:rFonts w:ascii="Arial Narrow" w:hAnsi="Arial Narrow" w:eastAsia="Arial Narrow" w:cs="Arial Narrow"/>
          <w:color w:themeColor="text1" w:val="000000"/>
          <w:sz w:val="22"/>
          <w:szCs w:val="22"/>
          <w:lang w:val="pl-PL"/>
        </w:rPr>
      </w:pPr>
      <w:r>
        <w:rPr>
          <w:rFonts w:eastAsia="Arial Narrow" w:cs="Arial Narrow" w:ascii="Arial Narrow" w:hAnsi="Arial Narrow"/>
          <w:color w:themeColor="text1" w:val="000000"/>
          <w:sz w:val="22"/>
          <w:szCs w:val="22"/>
          <w:lang w:val="pl-PL"/>
        </w:rPr>
      </w:r>
    </w:p>
    <w:p>
      <w:pPr>
        <w:pStyle w:val="NoSpacing"/>
        <w:jc w:val="both"/>
        <w:rPr>
          <w:rFonts w:ascii="Arial Narrow" w:hAnsi="Arial Narrow"/>
          <w:sz w:val="18"/>
          <w:szCs w:val="18"/>
          <w:lang w:val="en-IN"/>
        </w:rPr>
      </w:pPr>
      <w:r>
        <w:rPr>
          <w:rFonts w:ascii="Arial Narrow" w:hAnsi="Arial Narrow"/>
          <w:sz w:val="18"/>
          <w:szCs w:val="18"/>
          <w:lang w:val="en-IN"/>
        </w:rPr>
        <w:t xml:space="preserve">Źródło: Gartner, Hype Cycle for Digital Sovereignty, 2026, </w:t>
      </w:r>
      <w:hyperlink r:id="rId5">
        <w:r>
          <w:rPr>
            <w:rStyle w:val="Hyperlink"/>
            <w:rFonts w:ascii="Arial Narrow" w:hAnsi="Arial Narrow"/>
            <w:sz w:val="18"/>
            <w:szCs w:val="18"/>
            <w:lang w:val="en-US"/>
          </w:rPr>
          <w:t>Gregor Petri</w:t>
        </w:r>
      </w:hyperlink>
      <w:r>
        <w:rPr>
          <w:rFonts w:ascii="Arial Narrow" w:hAnsi="Arial Narrow"/>
          <w:sz w:val="18"/>
          <w:szCs w:val="18"/>
          <w:lang w:val="en-US"/>
        </w:rPr>
        <w:t>, </w:t>
      </w:r>
      <w:hyperlink r:id="rId6">
        <w:r>
          <w:rPr>
            <w:rStyle w:val="Hyperlink"/>
            <w:rFonts w:ascii="Arial Narrow" w:hAnsi="Arial Narrow"/>
            <w:sz w:val="18"/>
            <w:szCs w:val="18"/>
            <w:lang w:val="en-US"/>
          </w:rPr>
          <w:t>Rene Buest</w:t>
        </w:r>
      </w:hyperlink>
      <w:r>
        <w:rPr>
          <w:rFonts w:ascii="Arial Narrow" w:hAnsi="Arial Narrow"/>
          <w:sz w:val="18"/>
          <w:szCs w:val="18"/>
          <w:lang w:val="en-US"/>
        </w:rPr>
        <w:t>, </w:t>
      </w:r>
      <w:hyperlink r:id="rId7">
        <w:r>
          <w:rPr>
            <w:rStyle w:val="Hyperlink"/>
            <w:rFonts w:ascii="Arial Narrow" w:hAnsi="Arial Narrow"/>
            <w:sz w:val="18"/>
            <w:szCs w:val="18"/>
            <w:lang w:val="en-US"/>
          </w:rPr>
          <w:t>Nader Henein</w:t>
        </w:r>
      </w:hyperlink>
      <w:r>
        <w:rPr>
          <w:rFonts w:ascii="Arial Narrow" w:hAnsi="Arial Narrow"/>
          <w:sz w:val="18"/>
          <w:szCs w:val="18"/>
          <w:lang w:val="en-US"/>
        </w:rPr>
        <w:t>, </w:t>
      </w:r>
      <w:hyperlink r:id="rId8">
        <w:r>
          <w:rPr>
            <w:rStyle w:val="Hyperlink"/>
            <w:rFonts w:ascii="Arial Narrow" w:hAnsi="Arial Narrow"/>
            <w:sz w:val="18"/>
            <w:szCs w:val="18"/>
            <w:lang w:val="en-US"/>
          </w:rPr>
          <w:t>Bart Willemsen</w:t>
        </w:r>
      </w:hyperlink>
      <w:r>
        <w:rPr>
          <w:rFonts w:ascii="Arial Narrow" w:hAnsi="Arial Narrow"/>
          <w:sz w:val="18"/>
          <w:szCs w:val="18"/>
          <w:lang w:val="en-IN"/>
        </w:rPr>
        <w:t>, 25 czerwca 2026 r.</w:t>
      </w:r>
    </w:p>
    <w:p>
      <w:pPr>
        <w:pStyle w:val="NoSpacing"/>
        <w:jc w:val="both"/>
        <w:rPr>
          <w:lang w:val="pl-PL"/>
        </w:rPr>
      </w:pPr>
      <w:r>
        <w:rPr>
          <w:rFonts w:ascii="Arial Narrow" w:hAnsi="Arial Narrow"/>
          <w:sz w:val="18"/>
          <w:szCs w:val="18"/>
          <w:lang w:val="pl-PL"/>
        </w:rPr>
        <w:t>Gartner i Hype Cycle są znakami towarowymi firmy Gartner, Inc. i/lub jej podmiotów stowarzyszonych.</w:t>
      </w:r>
    </w:p>
    <w:p>
      <w:pPr>
        <w:pStyle w:val="NoSpacing"/>
        <w:jc w:val="both"/>
        <w:rPr>
          <w:rFonts w:ascii="Arial Narrow" w:hAnsi="Arial Narrow"/>
          <w:sz w:val="18"/>
          <w:szCs w:val="18"/>
          <w:lang w:val="pl-PL"/>
        </w:rPr>
      </w:pPr>
      <w:r>
        <w:rPr>
          <w:rFonts w:ascii="Arial Narrow" w:hAnsi="Arial Narrow"/>
          <w:sz w:val="18"/>
          <w:szCs w:val="18"/>
          <w:lang w:val="pl-PL"/>
        </w:rPr>
      </w:r>
    </w:p>
    <w:p>
      <w:pPr>
        <w:pStyle w:val="NoSpacing"/>
        <w:jc w:val="both"/>
        <w:rPr>
          <w:lang w:val="pl-PL"/>
        </w:rPr>
      </w:pPr>
      <w:r>
        <w:rPr>
          <w:rFonts w:ascii="Arial Narrow" w:hAnsi="Arial Narrow"/>
          <w:sz w:val="18"/>
          <w:szCs w:val="18"/>
          <w:lang w:val="pl-PL"/>
        </w:rPr>
        <w:t>Gartner nie rekomenduje żadnej z firm, dostawców, produktów ani usług przedstawionych w swoich publikacjach i nie zaleca użytkownikom rozwiązań technicznych wybierania wyłącznie dostawców o najwyższych ocenach lub wyróżnieniach. Publikacje Gartnera przedstawiają opinie zespołu analitycznego zajmującego się zagadnieniami biznesowymi i technicznymi i nie powinny być traktowane jako stwierdzenia faktów. Gartner wyłącza wszelkie gwarancje, wyraźne lub dorozumiane, dotyczące tej publikacji, w tym gwarancje przydatności handlowej oraz przydatności do określonego celu.</w:t>
      </w:r>
    </w:p>
    <w:p>
      <w:pPr>
        <w:pStyle w:val="NoSpacing"/>
        <w:rPr>
          <w:rFonts w:ascii="Arial Narrow" w:hAnsi="Arial Narrow"/>
          <w:sz w:val="18"/>
          <w:szCs w:val="18"/>
        </w:rPr>
      </w:pPr>
      <w:r>
        <w:rPr>
          <w:rFonts w:ascii="Arial Narrow" w:hAnsi="Arial Narrow"/>
          <w:sz w:val="18"/>
          <w:szCs w:val="18"/>
          <w:lang w:val="pl-PL"/>
        </w:rPr>
      </w:r>
    </w:p>
    <w:p>
      <w:pPr>
        <w:pStyle w:val="Normal"/>
        <w:shd w:val="clear" w:color="auto" w:fill="FFFFFF" w:themeFill="background1"/>
        <w:spacing w:lineRule="auto" w:line="264"/>
        <w:jc w:val="both"/>
        <w:rPr>
          <w:rFonts w:ascii="Arial Narrow" w:hAnsi="Arial Narrow" w:eastAsia="Arial Narrow" w:cs="Arial Narrow"/>
          <w:color w:themeColor="text1" w:val="000000"/>
          <w:sz w:val="18"/>
          <w:szCs w:val="18"/>
          <w:lang w:val="pl-PL"/>
        </w:rPr>
      </w:pPr>
      <w:r>
        <w:rPr>
          <w:rFonts w:eastAsia="Arial Narrow" w:cs="Arial Narrow" w:ascii="Arial Narrow" w:hAnsi="Arial Narrow"/>
          <w:b/>
          <w:bCs/>
          <w:color w:themeColor="text1" w:val="000000"/>
          <w:sz w:val="18"/>
          <w:szCs w:val="18"/>
          <w:lang w:val="pl-PL"/>
        </w:rPr>
        <w:t xml:space="preserve">O firmie Veeam ® Software </w:t>
      </w:r>
    </w:p>
    <w:p>
      <w:pPr>
        <w:pStyle w:val="Normal"/>
        <w:shd w:val="clear" w:color="auto" w:fill="FFFFFF" w:themeFill="background1"/>
        <w:spacing w:lineRule="auto" w:line="264"/>
        <w:jc w:val="both"/>
        <w:rPr>
          <w:rFonts w:ascii="Arial Narrow" w:hAnsi="Arial Narrow" w:eastAsia="Arial Narrow" w:cs="Arial Narrow"/>
          <w:color w:themeColor="text1" w:val="000000"/>
          <w:sz w:val="18"/>
          <w:szCs w:val="18"/>
          <w:lang w:val="pl-PL"/>
        </w:rPr>
      </w:pPr>
      <w:r>
        <w:rPr>
          <w:rFonts w:eastAsia="Arial Narrow" w:cs="Arial Narrow" w:ascii="Arial Narrow" w:hAnsi="Arial Narrow"/>
          <w:color w:themeColor="text1" w:val="000000"/>
          <w:sz w:val="18"/>
          <w:szCs w:val="18"/>
          <w:lang w:val="pl-PL"/>
        </w:rPr>
        <w:t xml:space="preserve">Veeam jest zaufanym partnerem w obszarze bezpieczeństwa danych i AI. Zapewnia ujednoliconą warstwę zaufania dla danych i AI, która łączy bezpieczeństwo, zarządzanie, zgodność z regulacjami, prywatność i odporność, wykorzystując wspólne informacje i analizy w całej infrastrukturze danych. Pomaga firmom budować, operacjonalizować i stale weryfikować poziom zaufania do danych, aby mogły być bezpiecznie używane w skalowalnych środowiskach sztucznej inteligencji.   </w:t>
      </w:r>
    </w:p>
    <w:p>
      <w:pPr>
        <w:pStyle w:val="Normal"/>
        <w:shd w:val="clear" w:color="auto" w:fill="FFFFFF" w:themeFill="background1"/>
        <w:spacing w:lineRule="auto" w:line="264"/>
        <w:jc w:val="both"/>
        <w:rPr>
          <w:rFonts w:ascii="Arial Narrow" w:hAnsi="Arial Narrow" w:eastAsia="Arial Narrow" w:cs="Arial Narrow"/>
          <w:color w:themeColor="text1" w:val="000000"/>
          <w:sz w:val="18"/>
          <w:szCs w:val="18"/>
          <w:lang w:val="pl-PL"/>
        </w:rPr>
      </w:pPr>
      <w:r>
        <w:rPr>
          <w:rFonts w:eastAsia="Arial Narrow" w:cs="Arial Narrow" w:ascii="Arial Narrow" w:hAnsi="Arial Narrow"/>
          <w:color w:themeColor="text1" w:val="000000"/>
          <w:sz w:val="18"/>
          <w:szCs w:val="18"/>
          <w:lang w:val="pl-PL"/>
        </w:rPr>
        <w:t xml:space="preserve">W erze agentowej bezpieczeństwo zaczyna się od danych. Jako lider rynku w obszarze odporności oraz bezpieczeństwa danych, Veeam pomaga firmom ograniczać ryzyko i wzmacniać kontrolę w całym cyklu życia danych. Łączy mechanizmy dostępu i ochrony, procesy zarządzania, zabezpieczenia prywatności, raportowanie zgodności z regulacjami oraz wbudowaną odporność. Veeam zapewnia pogłębiony, kontekstowy wgląd w dane i tożsamości, automatyzuje działania związane z zarządzaniem i reagowaniem na incydenty oraz umożliwia precyzyjne odzyskiwanie danych. Dzięki temu przedsiębiorstwa mogą szybko przywracać ciągłość działania po atakach ransomware, awariach, zagrożeniach wewnętrznych, działaniach niekontrolowanych agentów AI lub błędach ludzkich, korzystając z czystych i zaufanych danych.  </w:t>
      </w:r>
    </w:p>
    <w:p>
      <w:pPr>
        <w:pStyle w:val="Normal"/>
        <w:shd w:val="clear" w:color="auto" w:fill="FFFFFF" w:themeFill="background1"/>
        <w:spacing w:lineRule="auto" w:line="264"/>
        <w:jc w:val="both"/>
        <w:rPr>
          <w:rFonts w:ascii="Arial Narrow" w:hAnsi="Arial Narrow" w:eastAsia="Arial Narrow" w:cs="Arial Narrow"/>
          <w:color w:themeColor="text1" w:val="000000"/>
          <w:sz w:val="18"/>
          <w:szCs w:val="18"/>
          <w:lang w:val="pl-PL"/>
        </w:rPr>
      </w:pPr>
      <w:r>
        <w:rPr>
          <w:rFonts w:eastAsia="Arial Narrow" w:cs="Arial Narrow" w:ascii="Arial Narrow" w:hAnsi="Arial Narrow"/>
          <w:color w:themeColor="text1" w:val="000000"/>
          <w:sz w:val="18"/>
          <w:szCs w:val="18"/>
          <w:lang w:val="pl-PL"/>
        </w:rPr>
        <w:t xml:space="preserve">Firma Veeam, z siedzibą w Seattle w stanie Waszyngton i biurami w ponad 30 krajach, chroni dane ponad 550 tys. klientów na całym świecie, w tym 80% firm z listy Fortune 500. Więcej informacji dostępnych jest na stronie </w:t>
      </w:r>
      <w:hyperlink r:id="rId9">
        <w:r>
          <w:rPr>
            <w:rStyle w:val="Hyperlink"/>
            <w:rFonts w:eastAsia="Arial Narrow" w:cs="Arial Narrow" w:ascii="Arial Narrow" w:hAnsi="Arial Narrow"/>
            <w:sz w:val="18"/>
            <w:szCs w:val="18"/>
            <w:lang w:val="pl-PL"/>
          </w:rPr>
          <w:t>https://www.veeam.com</w:t>
        </w:r>
      </w:hyperlink>
      <w:r>
        <w:rPr>
          <w:rFonts w:eastAsia="Arial Narrow" w:cs="Arial Narrow" w:ascii="Arial Narrow" w:hAnsi="Arial Narrow"/>
          <w:color w:themeColor="text1" w:val="000000"/>
          <w:sz w:val="18"/>
          <w:szCs w:val="18"/>
          <w:lang w:val="pl-PL"/>
        </w:rPr>
        <w:t xml:space="preserve"> lub profilach Veeam w serwisach LinkedIn @veeam-software i X @veeam. </w:t>
      </w:r>
    </w:p>
    <w:p>
      <w:pPr>
        <w:pStyle w:val="Normal"/>
        <w:shd w:val="clear" w:color="auto" w:fill="FFFFFF" w:themeFill="background1"/>
        <w:spacing w:lineRule="auto" w:line="264"/>
        <w:jc w:val="both"/>
        <w:rPr>
          <w:rFonts w:ascii="Arial Narrow" w:hAnsi="Arial Narrow" w:eastAsia="Arial Narrow" w:cs="Arial Narrow"/>
          <w:color w:themeColor="text1" w:val="000000"/>
          <w:sz w:val="18"/>
          <w:szCs w:val="18"/>
          <w:lang w:val="en-US"/>
        </w:rPr>
      </w:pPr>
      <w:r>
        <w:rPr>
          <w:rFonts w:eastAsia="Arial Narrow" w:cs="Arial Narrow" w:ascii="Arial Narrow" w:hAnsi="Arial Narrow"/>
          <w:color w:themeColor="text1" w:val="000000"/>
          <w:sz w:val="18"/>
          <w:szCs w:val="18"/>
          <w:lang w:val="en-GB"/>
        </w:rPr>
        <w:t xml:space="preserve">For Veeam media inquiries, contact </w:t>
      </w:r>
      <w:hyperlink r:id="rId10">
        <w:r>
          <w:rPr>
            <w:rStyle w:val="Hyperlink"/>
            <w:rFonts w:eastAsia="Arial Narrow" w:cs="Arial Narrow" w:ascii="Arial Narrow" w:hAnsi="Arial Narrow"/>
            <w:sz w:val="18"/>
            <w:szCs w:val="18"/>
            <w:lang w:val="en-GB"/>
          </w:rPr>
          <w:t>Veeam.PR.Global@veeam.com</w:t>
        </w:r>
      </w:hyperlink>
      <w:r>
        <w:rPr>
          <w:rFonts w:eastAsia="Arial Narrow" w:cs="Arial Narrow" w:ascii="Arial Narrow" w:hAnsi="Arial Narrow"/>
          <w:color w:themeColor="text1" w:val="000000"/>
          <w:sz w:val="18"/>
          <w:szCs w:val="18"/>
          <w:lang w:val="en-GB"/>
        </w:rPr>
        <w:t>.</w:t>
      </w:r>
    </w:p>
    <w:p>
      <w:pPr>
        <w:pStyle w:val="NoSpacing"/>
        <w:jc w:val="both"/>
        <w:rPr>
          <w:rFonts w:ascii="Arial Narrow" w:hAnsi="Arial Narrow"/>
          <w:sz w:val="18"/>
          <w:szCs w:val="18"/>
        </w:rPr>
      </w:pPr>
      <w:r>
        <w:rPr>
          <w:rFonts w:ascii="Arial Narrow" w:hAnsi="Arial Narrow"/>
          <w:sz w:val="18"/>
          <w:szCs w:val="18"/>
        </w:rPr>
      </w:r>
    </w:p>
    <w:p>
      <w:pPr>
        <w:pStyle w:val="Normal"/>
        <w:spacing w:lineRule="auto" w:line="240" w:before="0" w:after="0"/>
        <w:jc w:val="both"/>
        <w:rPr>
          <w:rFonts w:ascii="Arial Narrow" w:hAnsi="Arial Narrow" w:eastAsia="Arial Narrow" w:cs="Arial Narrow"/>
          <w:b/>
          <w:bCs/>
          <w:sz w:val="28"/>
          <w:szCs w:val="28"/>
          <w:lang w:val="en-US"/>
        </w:rPr>
      </w:pPr>
      <w:r>
        <w:rPr>
          <w:rFonts w:eastAsia="Arial Narrow" w:cs="Arial Narrow" w:ascii="Arial Narrow" w:hAnsi="Arial Narrow"/>
          <w:b/>
          <w:bCs/>
          <w:sz w:val="28"/>
          <w:szCs w:val="28"/>
          <w:lang w:val="en-US"/>
        </w:rPr>
      </w:r>
    </w:p>
    <w:p>
      <w:pPr>
        <w:pStyle w:val="NoSpacing"/>
        <w:jc w:val="center"/>
        <w:rPr>
          <w:rFonts w:ascii="Arial Narrow" w:hAnsi="Arial Narrow"/>
          <w:sz w:val="18"/>
          <w:szCs w:val="18"/>
        </w:rPr>
      </w:pPr>
      <w:r>
        <w:rPr>
          <w:rFonts w:ascii="Arial Narrow" w:hAnsi="Arial Narrow"/>
          <w:b/>
          <w:bCs/>
          <w:sz w:val="18"/>
          <w:szCs w:val="18"/>
        </w:rPr>
        <w:t xml:space="preserve"> </w:t>
      </w:r>
    </w:p>
    <w:sectPr>
      <w:headerReference w:type="even" r:id="rId11"/>
      <w:headerReference w:type="default" r:id="rId12"/>
      <w:headerReference w:type="first" r:id="rId13"/>
      <w:footerReference w:type="even" r:id="rId14"/>
      <w:footerReference w:type="default" r:id="rId15"/>
      <w:footerReference w:type="first" r:id="rId16"/>
      <w:type w:val="nextPage"/>
      <w:pgSz w:w="12240" w:h="15840"/>
      <w:pgMar w:left="1440" w:right="1440" w:gutter="0" w:header="720" w:top="2145" w:footer="72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swiss"/>
    <w:pitch w:val="variable"/>
    <w:embedRegular r:id="rId1" w:fontKey="{01014A78-CABC-4EF0-12AC-5CD89AEFDE01}"/>
    <w:embedBold r:id="rId2" w:fontKey="{02014A78-CABC-4EF0-12AC-5CD89AEFDE02}"/>
    <w:embedItalic r:id="rId3" w:fontKey="{03014A78-CABC-4EF0-12AC-5CD89AEFDE03}"/>
  </w:font>
  <w:font w:name="Play">
    <w:charset w:val="ee" w:characterSet="windows-1250"/>
    <w:family w:val="swiss"/>
    <w:pitch w:val="variable"/>
  </w:font>
  <w:font w:name="Cambria">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Arial Narrow">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pBdr/>
      <w:spacing w:lineRule="auto" w:line="276" w:before="0" w:after="0"/>
      <w:rPr>
        <w:b/>
        <w:bCs/>
        <w:color w:val="000000"/>
      </w:rPr>
    </w:pPr>
    <w:r>
      <w:rPr>
        <w:b/>
        <w:bCs/>
        <w:color w:val="000000"/>
      </w:rPr>
    </w:r>
  </w:p>
  <w:tbl>
    <w:tblPr>
      <w:tblW w:w="9360" w:type="dxa"/>
      <w:jc w:val="start"/>
      <w:tblInd w:w="0" w:type="dxa"/>
      <w:tblLayout w:type="fixed"/>
      <w:tblCellMar>
        <w:top w:w="0" w:type="dxa"/>
        <w:start w:w="115" w:type="dxa"/>
        <w:bottom w:w="0" w:type="dxa"/>
        <w:end w:w="115" w:type="dxa"/>
      </w:tblCellMar>
      <w:tblLook w:val="0600" w:firstRow="0" w:noVBand="1" w:lastRow="0" w:firstColumn="0" w:lastColumn="0" w:noHBand="1"/>
    </w:tblPr>
    <w:tblGrid>
      <w:gridCol w:w="3120"/>
      <w:gridCol w:w="3120"/>
      <w:gridCol w:w="3120"/>
    </w:tblGrid>
    <w:tr>
      <w:trPr>
        <w:trHeight w:val="300" w:hRule="atLeast"/>
      </w:trPr>
      <w:tc>
        <w:tcPr>
          <w:tcW w:w="3120" w:type="dxa"/>
          <w:tcBorders/>
        </w:tcPr>
        <w:p>
          <w:pPr>
            <w:pStyle w:val="Normal"/>
            <w:pBdr/>
            <w:tabs>
              <w:tab w:val="clear" w:pos="720"/>
              <w:tab w:val="center" w:pos="4680" w:leader="none"/>
              <w:tab w:val="right" w:pos="9360" w:leader="none"/>
            </w:tabs>
            <w:spacing w:lineRule="auto" w:line="240" w:before="0" w:after="0"/>
            <w:ind w:start="-115"/>
            <w:rPr>
              <w:color w:val="000000"/>
            </w:rPr>
          </w:pPr>
          <w:r>
            <w:rPr>
              <w:color w:val="000000"/>
            </w:rPr>
          </w:r>
        </w:p>
      </w:tc>
      <w:tc>
        <w:tcPr>
          <w:tcW w:w="3120" w:type="dxa"/>
          <w:tcBorders/>
        </w:tcPr>
        <w:p>
          <w:pPr>
            <w:pStyle w:val="Normal"/>
            <w:pBdr/>
            <w:tabs>
              <w:tab w:val="clear" w:pos="720"/>
              <w:tab w:val="center" w:pos="4680" w:leader="none"/>
              <w:tab w:val="right" w:pos="9360" w:leader="none"/>
            </w:tabs>
            <w:spacing w:lineRule="auto" w:line="240" w:before="0" w:after="0"/>
            <w:jc w:val="center"/>
            <w:rPr>
              <w:color w:val="000000"/>
            </w:rPr>
          </w:pPr>
          <w:r>
            <w:rPr>
              <w:color w:val="000000"/>
            </w:rPr>
          </w:r>
        </w:p>
      </w:tc>
      <w:tc>
        <w:tcPr>
          <w:tcW w:w="3120" w:type="dxa"/>
          <w:tcBorders/>
        </w:tcPr>
        <w:p>
          <w:pPr>
            <w:pStyle w:val="Normal"/>
            <w:pBdr/>
            <w:tabs>
              <w:tab w:val="clear" w:pos="720"/>
              <w:tab w:val="center" w:pos="4680" w:leader="none"/>
              <w:tab w:val="right" w:pos="9360" w:leader="none"/>
            </w:tabs>
            <w:spacing w:lineRule="auto" w:line="240" w:before="0" w:after="0"/>
            <w:ind w:end="-115"/>
            <w:jc w:val="end"/>
            <w:rPr>
              <w:color w:val="000000"/>
            </w:rPr>
          </w:pPr>
          <w:r>
            <w:rPr>
              <w:color w:val="000000"/>
            </w:rPr>
          </w:r>
        </w:p>
      </w:tc>
    </w:tr>
  </w:tbl>
  <w:p>
    <w:pPr>
      <w:pStyle w:val="Normal"/>
      <w:pBdr/>
      <w:tabs>
        <w:tab w:val="clear" w:pos="720"/>
        <w:tab w:val="center" w:pos="4680" w:leader="none"/>
        <w:tab w:val="right" w:pos="9360" w:leader="none"/>
      </w:tabs>
      <w:spacing w:lineRule="auto" w:line="240" w:before="0" w:after="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pBdr/>
      <w:spacing w:lineRule="auto" w:line="276" w:before="0" w:after="0"/>
      <w:rPr>
        <w:b/>
        <w:bCs/>
        <w:color w:val="000000"/>
      </w:rPr>
    </w:pPr>
    <w:r>
      <w:rPr>
        <w:b/>
        <w:bCs/>
        <w:color w:val="000000"/>
      </w:rPr>
    </w:r>
  </w:p>
  <w:tbl>
    <w:tblPr>
      <w:tblW w:w="9360" w:type="dxa"/>
      <w:jc w:val="start"/>
      <w:tblInd w:w="0" w:type="dxa"/>
      <w:tblLayout w:type="fixed"/>
      <w:tblCellMar>
        <w:top w:w="0" w:type="dxa"/>
        <w:start w:w="115" w:type="dxa"/>
        <w:bottom w:w="0" w:type="dxa"/>
        <w:end w:w="115" w:type="dxa"/>
      </w:tblCellMar>
      <w:tblLook w:val="0600" w:firstRow="0" w:noVBand="1" w:lastRow="0" w:firstColumn="0" w:lastColumn="0" w:noHBand="1"/>
    </w:tblPr>
    <w:tblGrid>
      <w:gridCol w:w="3120"/>
      <w:gridCol w:w="3120"/>
      <w:gridCol w:w="3120"/>
    </w:tblGrid>
    <w:tr>
      <w:trPr>
        <w:trHeight w:val="300" w:hRule="atLeast"/>
      </w:trPr>
      <w:tc>
        <w:tcPr>
          <w:tcW w:w="3120" w:type="dxa"/>
          <w:tcBorders/>
        </w:tcPr>
        <w:p>
          <w:pPr>
            <w:pStyle w:val="Normal"/>
            <w:pBdr/>
            <w:tabs>
              <w:tab w:val="clear" w:pos="720"/>
              <w:tab w:val="center" w:pos="4680" w:leader="none"/>
              <w:tab w:val="right" w:pos="9360" w:leader="none"/>
            </w:tabs>
            <w:spacing w:lineRule="auto" w:line="240" w:before="0" w:after="0"/>
            <w:ind w:start="-115"/>
            <w:rPr>
              <w:color w:val="000000"/>
            </w:rPr>
          </w:pPr>
          <w:r>
            <w:rPr>
              <w:color w:val="000000"/>
            </w:rPr>
          </w:r>
        </w:p>
      </w:tc>
      <w:tc>
        <w:tcPr>
          <w:tcW w:w="3120" w:type="dxa"/>
          <w:tcBorders/>
        </w:tcPr>
        <w:p>
          <w:pPr>
            <w:pStyle w:val="Normal"/>
            <w:pBdr/>
            <w:tabs>
              <w:tab w:val="clear" w:pos="720"/>
              <w:tab w:val="center" w:pos="4680" w:leader="none"/>
              <w:tab w:val="right" w:pos="9360" w:leader="none"/>
            </w:tabs>
            <w:spacing w:lineRule="auto" w:line="240" w:before="0" w:after="0"/>
            <w:jc w:val="center"/>
            <w:rPr>
              <w:color w:val="000000"/>
            </w:rPr>
          </w:pPr>
          <w:r>
            <w:rPr>
              <w:color w:val="000000"/>
            </w:rPr>
          </w:r>
        </w:p>
      </w:tc>
      <w:tc>
        <w:tcPr>
          <w:tcW w:w="3120" w:type="dxa"/>
          <w:tcBorders/>
        </w:tcPr>
        <w:p>
          <w:pPr>
            <w:pStyle w:val="Normal"/>
            <w:pBdr/>
            <w:tabs>
              <w:tab w:val="clear" w:pos="720"/>
              <w:tab w:val="center" w:pos="4680" w:leader="none"/>
              <w:tab w:val="right" w:pos="9360" w:leader="none"/>
            </w:tabs>
            <w:spacing w:lineRule="auto" w:line="240" w:before="0" w:after="0"/>
            <w:ind w:end="-115"/>
            <w:jc w:val="end"/>
            <w:rPr>
              <w:color w:val="000000"/>
            </w:rPr>
          </w:pPr>
          <w:r>
            <w:rPr>
              <w:color w:val="000000"/>
            </w:rPr>
          </w:r>
        </w:p>
      </w:tc>
    </w:tr>
  </w:tbl>
  <w:p>
    <w:pPr>
      <w:pStyle w:val="Normal"/>
      <w:pBdr/>
      <w:tabs>
        <w:tab w:val="clear" w:pos="720"/>
        <w:tab w:val="center" w:pos="4680" w:leader="none"/>
        <w:tab w:val="right" w:pos="9360"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left" w:pos="1020" w:leader="none"/>
        <w:tab w:val="center" w:pos="3165" w:leader="none"/>
        <w:tab w:val="center" w:pos="4680" w:leader="none"/>
        <w:tab w:val="right" w:pos="9360" w:leader="none"/>
      </w:tabs>
      <w:spacing w:lineRule="auto" w:line="240" w:before="0" w:after="0"/>
      <w:rPr>
        <w:b/>
        <w:bCs/>
        <w:color w:val="000000"/>
      </w:rPr>
    </w:pPr>
    <w:r>
      <w:rPr/>
      <w:drawing>
        <wp:anchor distT="0" distB="0" distL="114300" distR="114300" simplePos="0" relativeHeight="4" behindDoc="1" locked="0" layoutInCell="0" allowOverlap="1">
          <wp:simplePos x="0" y="0"/>
          <wp:positionH relativeFrom="column">
            <wp:posOffset>0</wp:posOffset>
          </wp:positionH>
          <wp:positionV relativeFrom="paragraph">
            <wp:posOffset>-95250</wp:posOffset>
          </wp:positionV>
          <wp:extent cx="1821180" cy="548640"/>
          <wp:effectExtent l="0" t="0" r="0" b="0"/>
          <wp:wrapSquare wrapText="bothSides"/>
          <wp:docPr id="1" name="image1.png"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green and white logo&#10;&#10;AI-generated content may be incorrect."/>
                  <pic:cNvPicPr>
                    <a:picLocks noChangeAspect="1" noChangeArrowheads="1"/>
                  </pic:cNvPicPr>
                </pic:nvPicPr>
                <pic:blipFill>
                  <a:blip r:embed="rId1"/>
                  <a:stretch>
                    <a:fillRect/>
                  </a:stretch>
                </pic:blipFill>
                <pic:spPr bwMode="auto">
                  <a:xfrm>
                    <a:off x="0" y="0"/>
                    <a:ext cx="1821180" cy="548640"/>
                  </a:xfrm>
                  <a:prstGeom prst="rect">
                    <a:avLst/>
                  </a:prstGeom>
                  <a:noFill/>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left" w:pos="1020" w:leader="none"/>
        <w:tab w:val="center" w:pos="3165" w:leader="none"/>
        <w:tab w:val="center" w:pos="4680" w:leader="none"/>
        <w:tab w:val="right" w:pos="9360" w:leader="none"/>
      </w:tabs>
      <w:spacing w:lineRule="auto" w:line="240" w:before="0" w:after="0"/>
      <w:rPr>
        <w:b/>
        <w:bCs/>
        <w:color w:val="000000"/>
      </w:rPr>
    </w:pPr>
    <w:r>
      <w:rPr/>
      <w:drawing>
        <wp:anchor distT="0" distB="0" distL="114300" distR="114300" simplePos="0" relativeHeight="4" behindDoc="1" locked="0" layoutInCell="0" allowOverlap="1">
          <wp:simplePos x="0" y="0"/>
          <wp:positionH relativeFrom="column">
            <wp:posOffset>0</wp:posOffset>
          </wp:positionH>
          <wp:positionV relativeFrom="paragraph">
            <wp:posOffset>-95250</wp:posOffset>
          </wp:positionV>
          <wp:extent cx="1821180" cy="548640"/>
          <wp:effectExtent l="0" t="0" r="0" b="0"/>
          <wp:wrapSquare wrapText="bothSides"/>
          <wp:docPr id="2" name="image1.png"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A green and white logo&#10;&#10;AI-generated content may be incorrect."/>
                  <pic:cNvPicPr>
                    <a:picLocks noChangeAspect="1" noChangeArrowheads="1"/>
                  </pic:cNvPicPr>
                </pic:nvPicPr>
                <pic:blipFill>
                  <a:blip r:embed="rId1"/>
                  <a:stretch>
                    <a:fillRect/>
                  </a:stretch>
                </pic:blipFill>
                <pic:spPr bwMode="auto">
                  <a:xfrm>
                    <a:off x="0" y="0"/>
                    <a:ext cx="1821180" cy="548640"/>
                  </a:xfrm>
                  <a:prstGeom prst="rect">
                    <a:avLst/>
                  </a:prstGeom>
                  <a:noFill/>
                </pic:spPr>
              </pic:pic>
            </a:graphicData>
          </a:graphic>
        </wp:anchor>
      </w:drawing>
    </w:r>
    <w:r>
      <w:rPr/>
      <w:t xml:space="preserve"> </w:t>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4"/>
        <w:szCs w:val="24"/>
        <w:lang w:val="en-US"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Aptos"/>
      <w:color w:val="auto"/>
      <w:kern w:val="0"/>
      <w:sz w:val="24"/>
      <w:szCs w:val="24"/>
      <w:lang w:val="en-US" w:eastAsia="en-GB" w:bidi="ar-SA"/>
    </w:rPr>
  </w:style>
  <w:style w:type="paragraph" w:styleId="Heading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semiHidden/>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val="true"/>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uiPriority w:val="9"/>
    <w:semiHidden/>
    <w:unhideWhenUsed/>
    <w:qFormat/>
    <w:pPr>
      <w:keepNext w:val="true"/>
      <w:keepLines/>
      <w:spacing w:before="80" w:after="40"/>
      <w:outlineLvl w:val="4"/>
    </w:pPr>
    <w:rPr>
      <w:color w:val="0F4761"/>
    </w:rPr>
  </w:style>
  <w:style w:type="paragraph" w:styleId="Heading6">
    <w:name w:val="heading 6"/>
    <w:basedOn w:val="Normal"/>
    <w:next w:val="Normal"/>
    <w:uiPriority w:val="9"/>
    <w:semiHidden/>
    <w:unhideWhenUsed/>
    <w:qFormat/>
    <w:pPr>
      <w:keepNext w:val="true"/>
      <w:keepLines/>
      <w:spacing w:before="40" w:after="0"/>
      <w:outlineLvl w:val="5"/>
    </w:pPr>
    <w:rPr>
      <w:i/>
      <w:iCs/>
      <w:color w:val="595959"/>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2e21e7"/>
    <w:rPr>
      <w:sz w:val="16"/>
      <w:szCs w:val="16"/>
    </w:rPr>
  </w:style>
  <w:style w:type="character" w:styleId="TekstkomentarzaZnak" w:customStyle="1">
    <w:name w:val="Tekst komentarza Znak"/>
    <w:basedOn w:val="DefaultParagraphFont"/>
    <w:link w:val="CommentText"/>
    <w:uiPriority w:val="99"/>
    <w:qFormat/>
    <w:rsid w:val="002e21e7"/>
    <w:rPr>
      <w:sz w:val="20"/>
      <w:szCs w:val="20"/>
    </w:rPr>
  </w:style>
  <w:style w:type="character" w:styleId="TematkomentarzaZnak" w:customStyle="1">
    <w:name w:val="Temat komentarza Znak"/>
    <w:basedOn w:val="TekstkomentarzaZnak"/>
    <w:link w:val="annotationsubject"/>
    <w:uiPriority w:val="99"/>
    <w:semiHidden/>
    <w:qFormat/>
    <w:rsid w:val="002e21e7"/>
    <w:rPr>
      <w:b/>
      <w:bCs/>
      <w:sz w:val="20"/>
      <w:szCs w:val="20"/>
    </w:rPr>
  </w:style>
  <w:style w:type="character" w:styleId="NagwekZnak" w:customStyle="1">
    <w:name w:val="Nagłówek Znak"/>
    <w:basedOn w:val="DefaultParagraphFont"/>
    <w:uiPriority w:val="99"/>
    <w:qFormat/>
    <w:rsid w:val="000369ad"/>
    <w:rPr/>
  </w:style>
  <w:style w:type="character" w:styleId="StopkaZnak" w:customStyle="1">
    <w:name w:val="Stopka Znak"/>
    <w:basedOn w:val="DefaultParagraphFont"/>
    <w:uiPriority w:val="99"/>
    <w:qFormat/>
    <w:rsid w:val="000369ad"/>
    <w:rPr/>
  </w:style>
  <w:style w:type="character" w:styleId="Hyperlink">
    <w:name w:val="Hyperlink"/>
    <w:basedOn w:val="DefaultParagraphFont"/>
    <w:uiPriority w:val="99"/>
    <w:unhideWhenUsed/>
    <w:rsid w:val="000369ad"/>
    <w:rPr>
      <w:color w:val="0000FF"/>
      <w:u w:val="single"/>
    </w:rPr>
  </w:style>
  <w:style w:type="character" w:styleId="UnresolvedMention">
    <w:name w:val="Unresolved Mention"/>
    <w:basedOn w:val="DefaultParagraphFont"/>
    <w:uiPriority w:val="99"/>
    <w:semiHidden/>
    <w:unhideWhenUsed/>
    <w:qFormat/>
    <w:rsid w:val="00cb1f63"/>
    <w:rPr>
      <w:color w:val="605E5C"/>
      <w:shd w:fill="E1DFDD" w:val="clear"/>
    </w:rPr>
  </w:style>
  <w:style w:type="character" w:styleId="Mention">
    <w:name w:val="Mention"/>
    <w:basedOn w:val="DefaultParagraphFont"/>
    <w:uiPriority w:val="99"/>
    <w:unhideWhenUsed/>
    <w:qFormat/>
    <w:rsid w:val="004b324d"/>
    <w:rPr>
      <w:color w:val="2B579A"/>
      <w:shd w:fill="E1DFDD" w:val="clear"/>
    </w:rPr>
  </w:style>
  <w:style w:type="character" w:styleId="FollowedHyperlink">
    <w:name w:val="FollowedHyperlink"/>
    <w:basedOn w:val="DefaultParagraphFont"/>
    <w:uiPriority w:val="99"/>
    <w:semiHidden/>
    <w:unhideWhenUsed/>
    <w:rsid w:val="00803f1a"/>
    <w:rPr>
      <w:color w:themeColor="followedHyperlink" w:val="800080"/>
      <w:u w:val="single"/>
    </w:rPr>
  </w:style>
  <w:style w:type="character" w:styleId="TekstprzypisukocowegoZnak" w:customStyle="1">
    <w:name w:val="Tekst przypisu końcowego Znak"/>
    <w:basedOn w:val="DefaultParagraphFont"/>
    <w:uiPriority w:val="99"/>
    <w:semiHidden/>
    <w:qFormat/>
    <w:rsid w:val="00137fc2"/>
    <w:rPr>
      <w:sz w:val="20"/>
      <w:szCs w:val="20"/>
    </w:rPr>
  </w:style>
  <w:style w:type="character" w:styleId="Znakiprzypiswkocowych">
    <w:name w:val="Znaki przypisów końcowych"/>
    <w:basedOn w:val="DefaultParagraphFont"/>
    <w:uiPriority w:val="99"/>
    <w:semiHidden/>
    <w:unhideWhenUsed/>
    <w:qFormat/>
    <w:rsid w:val="00137fc2"/>
    <w:rPr>
      <w:vertAlign w:val="superscript"/>
    </w:rPr>
  </w:style>
  <w:style w:type="character" w:styleId="EndnoteReference">
    <w:name w:val="endnote reference"/>
    <w:rPr>
      <w:vertAlign w:val="superscript"/>
    </w:rPr>
  </w:style>
  <w:style w:type="character" w:styleId="BezodstpwZnak" w:customStyle="1">
    <w:name w:val="Bez odstępów Znak"/>
    <w:basedOn w:val="DefaultParagraphFont"/>
    <w:link w:val="NoSpacing"/>
    <w:uiPriority w:val="1"/>
    <w:qFormat/>
    <w:rsid w:val="00e05781"/>
    <w:rPr>
      <w:rFonts w:ascii="Cambria" w:hAnsi="Cambria" w:eastAsia="Cambria" w:cs="Arial" w:asciiTheme="minorHAnsi" w:cstheme="minorBidi" w:eastAsiaTheme="minorHAnsi" w:hAnsiTheme="minorHAnsi"/>
      <w:kern w:val="2"/>
      <w:lang w:val="en-US" w:eastAsia="en-US"/>
      <w14:ligatures w14:val="standardContextual"/>
    </w:rPr>
  </w:style>
  <w:style w:type="character" w:styleId="Znakiprzypiswdolnych">
    <w:name w:val="Znaki przypisów dolnych"/>
    <w:basedOn w:val="DefaultParagraphFont"/>
    <w:uiPriority w:val="99"/>
    <w:semiHidden/>
    <w:unhideWhenUsed/>
    <w:qFormat/>
    <w:rsid w:val="4be842d4"/>
    <w:rPr>
      <w:vertAlign w:val="superscript"/>
    </w:rPr>
  </w:style>
  <w:style w:type="character" w:styleId="FootnoteReference">
    <w:name w:val="footnote reference"/>
    <w:rPr>
      <w:vertAlign w:val="superscript"/>
    </w:rPr>
  </w:style>
  <w:style w:type="character" w:styleId="apple-converted-space" w:customStyle="1">
    <w:name w:val="apple-converted-space"/>
    <w:basedOn w:val="DefaultParagraphFont"/>
    <w:qFormat/>
    <w:rsid w:val="005a3341"/>
    <w:rPr/>
  </w:style>
  <w:style w:type="character" w:styleId="outlook-search-highlight" w:customStyle="1">
    <w:name w:val="outlook-search-highlight"/>
    <w:basedOn w:val="DefaultParagraphFont"/>
    <w:qFormat/>
    <w:rsid w:val="005a3341"/>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uiPriority w:val="10"/>
    <w:qFormat/>
    <w:pPr>
      <w:spacing w:lineRule="auto" w:line="240" w:before="0" w:after="80"/>
    </w:pPr>
    <w:rPr>
      <w:rFonts w:ascii="Play" w:hAnsi="Play" w:eastAsia="Play" w:cs="Play"/>
      <w:sz w:val="56"/>
      <w:szCs w:val="56"/>
    </w:rPr>
  </w:style>
  <w:style w:type="paragraph" w:styleId="Subtitle">
    <w:name w:val="Subtitle"/>
    <w:basedOn w:val="Normal"/>
    <w:next w:val="Normal"/>
    <w:uiPriority w:val="11"/>
    <w:qFormat/>
    <w:pPr/>
    <w:rPr>
      <w:color w:val="595959"/>
      <w:sz w:val="28"/>
      <w:szCs w:val="28"/>
    </w:rPr>
  </w:style>
  <w:style w:type="paragraph" w:styleId="CommentText">
    <w:name w:val="annotation text"/>
    <w:basedOn w:val="Normal"/>
    <w:link w:val="TekstkomentarzaZnak"/>
    <w:uiPriority w:val="99"/>
    <w:unhideWhenUsed/>
    <w:rsid w:val="002e21e7"/>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2e21e7"/>
    <w:pPr/>
    <w:rPr>
      <w:b/>
      <w:bCs/>
    </w:rPr>
  </w:style>
  <w:style w:type="paragraph" w:styleId="Gwkaistopka">
    <w:name w:val="Główka i stopka"/>
    <w:basedOn w:val="Normal"/>
    <w:qFormat/>
    <w:pPr/>
    <w:rPr/>
  </w:style>
  <w:style w:type="paragraph" w:styleId="Header">
    <w:name w:val="header"/>
    <w:basedOn w:val="Normal"/>
    <w:link w:val="NagwekZnak"/>
    <w:uiPriority w:val="99"/>
    <w:unhideWhenUsed/>
    <w:rsid w:val="00e40a3d"/>
    <w:pPr>
      <w:tabs>
        <w:tab w:val="clear" w:pos="720"/>
        <w:tab w:val="center" w:pos="4680" w:leader="none"/>
        <w:tab w:val="right" w:pos="9360" w:leader="none"/>
      </w:tabs>
      <w:spacing w:lineRule="auto" w:line="240" w:before="0" w:after="0"/>
    </w:pPr>
    <w:rPr/>
  </w:style>
  <w:style w:type="paragraph" w:styleId="Footer">
    <w:name w:val="footer"/>
    <w:basedOn w:val="Normal"/>
    <w:link w:val="StopkaZnak"/>
    <w:uiPriority w:val="99"/>
    <w:unhideWhenUsed/>
    <w:rsid w:val="00e40a3d"/>
    <w:pPr>
      <w:tabs>
        <w:tab w:val="clear" w:pos="720"/>
        <w:tab w:val="center" w:pos="4680" w:leader="none"/>
        <w:tab w:val="right" w:pos="9360" w:leader="none"/>
      </w:tabs>
      <w:spacing w:lineRule="auto" w:line="240" w:before="0" w:after="0"/>
    </w:pPr>
    <w:rPr/>
  </w:style>
  <w:style w:type="paragraph" w:styleId="Revision">
    <w:name w:val="Revision"/>
    <w:uiPriority w:val="99"/>
    <w:semiHidden/>
    <w:qFormat/>
    <w:rsid w:val="002b1092"/>
    <w:pPr>
      <w:widowControl/>
      <w:bidi w:val="0"/>
      <w:spacing w:lineRule="auto" w:line="240" w:before="0" w:after="0"/>
      <w:jc w:val="start"/>
    </w:pPr>
    <w:rPr>
      <w:rFonts w:ascii="Aptos" w:hAnsi="Aptos" w:eastAsia="Aptos" w:cs="Aptos"/>
      <w:color w:val="auto"/>
      <w:kern w:val="0"/>
      <w:sz w:val="24"/>
      <w:szCs w:val="24"/>
      <w:lang w:val="en-US" w:eastAsia="en-GB" w:bidi="ar-SA"/>
    </w:rPr>
  </w:style>
  <w:style w:type="paragraph" w:styleId="ListParagraph">
    <w:name w:val="List Paragraph"/>
    <w:basedOn w:val="Normal"/>
    <w:uiPriority w:val="34"/>
    <w:qFormat/>
    <w:rsid w:val="00852ce0"/>
    <w:pPr>
      <w:spacing w:before="0" w:after="160"/>
      <w:ind w:start="720"/>
      <w:contextualSpacing/>
    </w:pPr>
    <w:rPr/>
  </w:style>
  <w:style w:type="paragraph" w:styleId="NormalWeb">
    <w:name w:val="Normal (Web)"/>
    <w:basedOn w:val="Normal"/>
    <w:uiPriority w:val="99"/>
    <w:semiHidden/>
    <w:unhideWhenUsed/>
    <w:qFormat/>
    <w:rsid w:val="003b5518"/>
    <w:pPr/>
    <w:rPr>
      <w:rFonts w:ascii="Times New Roman" w:hAnsi="Times New Roman" w:cs="Times New Roman"/>
    </w:rPr>
  </w:style>
  <w:style w:type="paragraph" w:styleId="NoSpacing">
    <w:name w:val="No Spacing"/>
    <w:link w:val="BezodstpwZnak"/>
    <w:uiPriority w:val="1"/>
    <w:qFormat/>
    <w:rsid w:val="0022392d"/>
    <w:pPr>
      <w:widowControl/>
      <w:bidi w:val="0"/>
      <w:spacing w:lineRule="auto" w:line="240" w:before="0" w:after="0"/>
      <w:jc w:val="start"/>
    </w:pPr>
    <w:rPr>
      <w:rFonts w:ascii="Cambria" w:hAnsi="Cambria" w:eastAsia="Cambria" w:cs="Arial" w:asciiTheme="minorHAnsi" w:cstheme="minorBidi" w:eastAsiaTheme="minorHAnsi" w:hAnsiTheme="minorHAnsi"/>
      <w:color w:val="auto"/>
      <w:kern w:val="2"/>
      <w:sz w:val="24"/>
      <w:szCs w:val="24"/>
      <w:lang w:val="en-US" w:eastAsia="en-US" w:bidi="ar-SA"/>
      <w14:ligatures w14:val="standardContextual"/>
    </w:rPr>
  </w:style>
  <w:style w:type="paragraph" w:styleId="EndnoteText">
    <w:name w:val="endnote text"/>
    <w:basedOn w:val="Normal"/>
    <w:link w:val="TekstprzypisukocowegoZnak"/>
    <w:uiPriority w:val="99"/>
    <w:semiHidden/>
    <w:unhideWhenUsed/>
    <w:rsid w:val="00137fc2"/>
    <w:pPr>
      <w:spacing w:lineRule="auto" w:line="240" w:before="0" w:after="0"/>
    </w:pPr>
    <w:rPr>
      <w:sz w:val="20"/>
      <w:szCs w:val="20"/>
    </w:rPr>
  </w:style>
  <w:style w:type="paragraph" w:styleId="FootnoteText">
    <w:name w:val="footnote text"/>
    <w:basedOn w:val="Normal"/>
    <w:uiPriority w:val="99"/>
    <w:semiHidden/>
    <w:unhideWhenUsed/>
    <w:rsid w:val="4be842d4"/>
    <w:pPr>
      <w:spacing w:lineRule="auto" w:line="240" w:before="0" w:after="0"/>
    </w:pPr>
    <w:rPr>
      <w:sz w:val="20"/>
      <w:szCs w:val="20"/>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styleId="Tabela-Siatka">
    <w:name w:val="Table Grid"/>
    <w:basedOn w:val="Standardowy"/>
    <w:uiPriority w:val="59"/>
    <w:rsid w:val="00137fc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veeam.com/" TargetMode="External"/><Relationship Id="rId3" Type="http://schemas.openxmlformats.org/officeDocument/2006/relationships/hyperlink" Target="https://www.veeam.com/company/press-release/emea-organizations-facing-a-shadow-agent-crisis-as-boardroom-anxiety-over-personal-liability-grows-veeam-research-finds.html" TargetMode="External"/><Relationship Id="rId4" Type="http://schemas.openxmlformats.org/officeDocument/2006/relationships/hyperlink" Target="https://www.veeam.com/" TargetMode="External"/><Relationship Id="rId5" Type="http://schemas.openxmlformats.org/officeDocument/2006/relationships/hyperlink" Target="https://www.gartner.com/analyst/bcc903bb7a" TargetMode="External"/><Relationship Id="rId6" Type="http://schemas.openxmlformats.org/officeDocument/2006/relationships/hyperlink" Target="https://www.gartner.com/analyst/b0c807b972" TargetMode="External"/><Relationship Id="rId7" Type="http://schemas.openxmlformats.org/officeDocument/2006/relationships/hyperlink" Target="https://www.gartner.com/analyst/b0c903b878" TargetMode="External"/><Relationship Id="rId8" Type="http://schemas.openxmlformats.org/officeDocument/2006/relationships/hyperlink" Target="https://www.gartner.com/analyst/bec807b87e" TargetMode="External"/><Relationship Id="rId9" Type="http://schemas.openxmlformats.org/officeDocument/2006/relationships/hyperlink" Target="https://www.veeam.com/" TargetMode="External"/><Relationship Id="rId10" Type="http://schemas.openxmlformats.org/officeDocument/2006/relationships/hyperlink" Target="mailto:Veeam.PR.Global@veeam.com"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765863276DCB64A9C42CF667D69A046" ma:contentTypeVersion="17" ma:contentTypeDescription="Utwórz nowy dokument." ma:contentTypeScope="" ma:versionID="1c6ae3a810d95b4a1ab93ddfac2cb723">
  <xsd:schema xmlns:xsd="http://www.w3.org/2001/XMLSchema" xmlns:xs="http://www.w3.org/2001/XMLSchema" xmlns:p="http://schemas.microsoft.com/office/2006/metadata/properties" xmlns:ns2="15264d8a-a24f-4bd1-9515-8dd4bba4824b" xmlns:ns3="386771e2-d535-47e5-a169-b39578703056" targetNamespace="http://schemas.microsoft.com/office/2006/metadata/properties" ma:root="true" ma:fieldsID="26bccae0a77374fcd3bd36539de86832" ns2:_="" ns3:_="">
    <xsd:import namespace="15264d8a-a24f-4bd1-9515-8dd4bba4824b"/>
    <xsd:import namespace="386771e2-d535-47e5-a169-b395787030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64d8a-a24f-4bd1-9515-8dd4bba48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0421c0d-218e-4a6c-a7e0-f38f9e32bf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6771e2-d535-47e5-a169-b395787030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90e5dd-d0c3-47ab-8336-b7ba29694385}" ma:internalName="TaxCatchAll" ma:showField="CatchAllData" ma:web="386771e2-d535-47e5-a169-b3957870305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86771e2-d535-47e5-a169-b39578703056" xsi:nil="true"/>
    <lcf76f155ced4ddcb4097134ff3c332f xmlns="15264d8a-a24f-4bd1-9515-8dd4bba4824b">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uri="GoogleDocsCustomDataVersion2">
  <go:docsCustomData roundtripDataSignature="AMtx7mjfGZdi/QI3mFSqa5jvBlUZ7mil2A==">CgMxLjAyDmgucjAzcDBueGNsemRtOAByITFlM1d6VkVPVDEwa1lEZlZuazY0YTQ4SjF1Y0g2NmgzXw==</go:docsCustomData>
</go:gDocsCustomXmlDataStorage>
</file>

<file path=customXml/itemProps1.xml><?xml version="1.0" encoding="utf-8"?>
<ds:datastoreItem xmlns:ds="http://schemas.openxmlformats.org/officeDocument/2006/customXml" ds:itemID="{4FE1D7A2-9407-9940-B5C0-AD61D0C75BDD}">
  <ds:schemaRefs>
    <ds:schemaRef ds:uri="http://schemas.openxmlformats.org/officeDocument/2006/bibliography"/>
  </ds:schemaRefs>
</ds:datastoreItem>
</file>

<file path=customXml/itemProps2.xml><?xml version="1.0" encoding="utf-8"?>
<ds:datastoreItem xmlns:ds="http://schemas.openxmlformats.org/officeDocument/2006/customXml" ds:itemID="{38A13097-5DA4-496C-8CB8-CAB6899B1877}">
  <ds:schemaRefs>
    <ds:schemaRef ds:uri="http://schemas.microsoft.com/sharepoint/v3/contenttype/forms"/>
  </ds:schemaRefs>
</ds:datastoreItem>
</file>

<file path=customXml/itemProps3.xml><?xml version="1.0" encoding="utf-8"?>
<ds:datastoreItem xmlns:ds="http://schemas.openxmlformats.org/officeDocument/2006/customXml" ds:itemID="{458C52ED-6F73-4D26-A98B-265A63B0A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64d8a-a24f-4bd1-9515-8dd4bba4824b"/>
    <ds:schemaRef ds:uri="386771e2-d535-47e5-a169-b39578703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895719-D80D-490A-8A64-14C5B50D27FD}">
  <ds:schemaRefs>
    <ds:schemaRef ds:uri="http://schemas.microsoft.com/office/2006/metadata/properties"/>
    <ds:schemaRef ds:uri="http://schemas.microsoft.com/office/infopath/2007/PartnerControls"/>
    <ds:schemaRef ds:uri="386771e2-d535-47e5-a169-b39578703056"/>
    <ds:schemaRef ds:uri="15264d8a-a24f-4bd1-9515-8dd4bba4824b"/>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3</Pages>
  <Words>1320</Words>
  <Characters>9232</Characters>
  <CharactersWithSpaces>10550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2026-10-16T16:29:00Z</dcterms:created>
  <dc:creator>Joel Goodson</dc:creator>
  <dc:description/>
  <dc:language>pl-PL</dc:language>
  <cp:lastModifiedBy/>
  <dcterms:modified xsi:type="dcterms:W3CDTF">2026-10-21T08:42:44Z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0x0101004765863276DCB64A9C42CF667D69A046</vt:lpwstr>
  </property>
  <property fmtid="{D5CDD505-2E9C-101B-9397-08002B2CF9AE}" pid="3" name="GrammarlyDocumentId">
    <vt:lpwstr>b8154eb7-cdbb-445d-87d4-03e5cc1c743a</vt:lpwstr>
  </property>
  <property fmtid="{D5CDD505-2E9C-101B-9397-08002B2CF9AE}" pid="4" name="MediaServiceImageTags">
    <vt:lpwstr/>
  </property>
  <property fmtid="{D5CDD505-2E9C-101B-9397-08002B2CF9AE}" pid="5" name="docLang">
    <vt:lpwstr>en</vt:lpwstr>
  </property>
</Properties>
</file>