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spacing w:after="240" w:before="240" w:line="240" w:lineRule="auto"/>
        <w:jc w:val="center"/>
        <w:rPr>
          <w:rFonts w:ascii="Google Sans" w:cs="Google Sans" w:eastAsia="Google Sans" w:hAnsi="Google Sans"/>
          <w:b w:val="1"/>
          <w:bCs w:val="1"/>
        </w:rPr>
      </w:pPr>
      <w:r w:rsidDel="00000000" w:rsidR="00000000" w:rsidRPr="00000000">
        <w:rPr>
          <w:rFonts w:ascii="Google Sans" w:cs="Google Sans" w:eastAsia="Google Sans" w:hAnsi="Google Sans"/>
          <w:b w:val="1"/>
          <w:bCs w:val="1"/>
          <w:rtl w:val="0"/>
        </w:rPr>
        <w:t xml:space="preserve">Google Cloud udostępnia klientom modele OpenAI i poszerza wybór modeli AI</w:t>
      </w:r>
    </w:p>
    <w:p w:rsidR="00000000" w:rsidDel="00000000" w:rsidP="00000000" w:rsidRDefault="00000000" w:rsidRPr="00000000" w14:paraId="00000002">
      <w:pPr>
        <w:keepNext w:val="0"/>
        <w:spacing w:after="240" w:before="240" w:line="240" w:lineRule="auto"/>
        <w:jc w:val="center"/>
        <w:rPr>
          <w:rFonts w:ascii="Google Sans" w:cs="Google Sans" w:eastAsia="Google Sans" w:hAnsi="Google Sans"/>
          <w:i w:val="1"/>
          <w:iCs w:val="1"/>
        </w:rPr>
      </w:pPr>
      <w:r w:rsidDel="00000000" w:rsidR="00000000" w:rsidRPr="00000000">
        <w:rPr>
          <w:rFonts w:ascii="Google Sans" w:cs="Google Sans" w:eastAsia="Google Sans" w:hAnsi="Google Sans"/>
          <w:i w:val="1"/>
          <w:iCs w:val="1"/>
          <w:rtl w:val="0"/>
        </w:rPr>
        <w:t xml:space="preserve">Gemini, Claude i GPT na jednej platformie: firmy dobierają model do zadania i rozliczają całe zużycie na jednej fakturze Google Cloud.</w:t>
      </w:r>
    </w:p>
    <w:p w:rsidR="00000000" w:rsidDel="00000000" w:rsidP="00000000" w:rsidRDefault="00000000" w:rsidRPr="00000000" w14:paraId="00000003">
      <w:pPr>
        <w:keepNext w:val="0"/>
        <w:spacing w:after="240" w:before="0" w:line="276" w:lineRule="auto"/>
        <w:jc w:val="left"/>
        <w:rPr>
          <w:rFonts w:ascii="Google Sans" w:cs="Google Sans" w:eastAsia="Google Sans" w:hAnsi="Google Sans"/>
          <w:sz w:val="20"/>
          <w:szCs w:val="20"/>
        </w:rPr>
      </w:pPr>
      <w:r w:rsidDel="00000000" w:rsidR="00000000" w:rsidRPr="00000000">
        <w:rPr>
          <w:rFonts w:ascii="Google Sans" w:cs="Google Sans" w:eastAsia="Google Sans" w:hAnsi="Google Sans"/>
          <w:b w:val="1"/>
          <w:bCs w:val="1"/>
          <w:sz w:val="20"/>
          <w:szCs w:val="20"/>
          <w:rtl w:val="0"/>
        </w:rPr>
        <w:t xml:space="preserve">Warszawa - 21 października 2026 r.</w:t>
      </w:r>
      <w:r w:rsidDel="00000000" w:rsidR="00000000" w:rsidRPr="00000000">
        <w:rPr>
          <w:rFonts w:ascii="Google Sans" w:cs="Google Sans" w:eastAsia="Google Sans" w:hAnsi="Google Sans"/>
          <w:sz w:val="20"/>
          <w:szCs w:val="20"/>
          <w:rtl w:val="0"/>
        </w:rPr>
        <w:t xml:space="preserve"> – Google Cloud ogłosiło dziś wprowadzenie modeli OpenAI do biblioteki modeli platformy Gemini. Tym samym Google Cloud staje się jedynym dostawcą chmury hiperskalowej, który na jednej platformie AI dla przedsiębiorstw oferuje dostęp do Gemini, Claude i GPT, a obok nich do ponad 200 modeli własnych, modeli innych dostawców i modeli otwartych.</w:t>
      </w:r>
    </w:p>
    <w:p w:rsidR="00000000" w:rsidDel="00000000" w:rsidP="00000000" w:rsidRDefault="00000000" w:rsidRPr="00000000" w14:paraId="00000004">
      <w:pPr>
        <w:keepNext w:val="0"/>
        <w:spacing w:after="240" w:before="0" w:line="276" w:lineRule="auto"/>
        <w:jc w:val="left"/>
        <w:rPr>
          <w:rFonts w:ascii="Google Sans" w:cs="Google Sans" w:eastAsia="Google Sans" w:hAnsi="Google Sans"/>
          <w:sz w:val="20"/>
          <w:szCs w:val="20"/>
        </w:rPr>
      </w:pPr>
      <w:r w:rsidDel="00000000" w:rsidR="00000000" w:rsidRPr="00000000">
        <w:rPr>
          <w:rFonts w:ascii="Google Sans" w:cs="Google Sans" w:eastAsia="Google Sans" w:hAnsi="Google Sans"/>
          <w:sz w:val="20"/>
          <w:szCs w:val="20"/>
          <w:rtl w:val="0"/>
        </w:rPr>
        <w:t xml:space="preserve">Wyróżnikami Google Cloud od początku są swoboda wyboru i zarządzanie na poziomie wymaganym przez przedsiębiorstwa</w:t>
      </w:r>
      <w:r w:rsidDel="00000000" w:rsidR="00000000" w:rsidRPr="00000000">
        <w:rPr>
          <w:rFonts w:ascii="Google Sans" w:cs="Google Sans" w:eastAsia="Google Sans" w:hAnsi="Google Sans"/>
          <w:sz w:val="20"/>
          <w:szCs w:val="20"/>
          <w:rtl w:val="0"/>
        </w:rPr>
        <w:t xml:space="preserve">. </w:t>
      </w:r>
      <w:r w:rsidDel="00000000" w:rsidR="00000000" w:rsidRPr="00000000">
        <w:rPr>
          <w:rFonts w:ascii="Google Sans" w:cs="Google Sans" w:eastAsia="Google Sans" w:hAnsi="Google Sans"/>
          <w:sz w:val="20"/>
          <w:szCs w:val="20"/>
          <w:rtl w:val="0"/>
        </w:rPr>
        <w:t xml:space="preserve">Klienci mogą uruchamiać zadania agentów AI na wybranych przez siebie modelach i infrastrukturze, by znaleźć właściwą równowagę między kosztem, możliwościami i wydajnością.</w:t>
      </w:r>
    </w:p>
    <w:p w:rsidR="00000000" w:rsidDel="00000000" w:rsidP="00000000" w:rsidRDefault="00000000" w:rsidRPr="00000000" w14:paraId="00000005">
      <w:pPr>
        <w:keepNext w:val="0"/>
        <w:spacing w:after="240" w:before="0" w:line="276" w:lineRule="auto"/>
        <w:jc w:val="left"/>
        <w:rPr>
          <w:rFonts w:ascii="Google Sans" w:cs="Google Sans" w:eastAsia="Google Sans" w:hAnsi="Google Sans"/>
          <w:sz w:val="20"/>
          <w:szCs w:val="20"/>
        </w:rPr>
      </w:pPr>
      <w:r w:rsidDel="00000000" w:rsidR="00000000" w:rsidRPr="00000000">
        <w:rPr>
          <w:rFonts w:ascii="Google Sans" w:cs="Google Sans" w:eastAsia="Google Sans" w:hAnsi="Google Sans"/>
          <w:sz w:val="20"/>
          <w:szCs w:val="20"/>
          <w:rtl w:val="0"/>
        </w:rPr>
        <w:t xml:space="preserve">„Google Cloud to zaufana platforma dla programistów i firm, które budują agenty AI, tworzą oprogramowanie i wdrażają AI w praktyce. To partnerstwo jest ważnym krokiem, dzięki któremu nasze najbardziej zaawansowane modele oraz Codex trafiają tam, gdzie klienci budują swoje rozwiązania. Zyskują oni jeszcze większy wybór w korzystaniu z czołowych modeli AI, a my wspólnie rozwijamy ekosystem agentów” – powiedział Greg Brockman, prezes i współzałożyciel OpenAI.</w:t>
      </w:r>
    </w:p>
    <w:p w:rsidR="00000000" w:rsidDel="00000000" w:rsidP="00000000" w:rsidRDefault="00000000" w:rsidRPr="00000000" w14:paraId="00000006">
      <w:pPr>
        <w:keepNext w:val="0"/>
        <w:spacing w:after="240" w:before="0" w:line="276" w:lineRule="auto"/>
        <w:jc w:val="left"/>
        <w:rPr>
          <w:rFonts w:ascii="Google Sans" w:cs="Google Sans" w:eastAsia="Google Sans" w:hAnsi="Google Sans"/>
          <w:sz w:val="20"/>
          <w:szCs w:val="20"/>
          <w:highlight w:val="yellow"/>
        </w:rPr>
      </w:pPr>
      <w:r w:rsidDel="00000000" w:rsidR="00000000" w:rsidRPr="00000000">
        <w:rPr>
          <w:rFonts w:ascii="Google Sans" w:cs="Google Sans" w:eastAsia="Google Sans" w:hAnsi="Google Sans"/>
          <w:sz w:val="20"/>
          <w:szCs w:val="20"/>
          <w:rtl w:val="0"/>
        </w:rPr>
        <w:t xml:space="preserve">„Zależy nam na tym, by klienci mieli do dyspozycji szeroki wybór modeli, również tych od OpenAI. Mogą wtedy dobrać właściwy model do każdego zadania i uzyskać optymalną jakość przy niższych kosztach” – powiedział Thomas Kurian, CEO Google Cloud.</w:t>
      </w:r>
      <w:r w:rsidDel="00000000" w:rsidR="00000000" w:rsidRPr="00000000">
        <w:rPr>
          <w:rtl w:val="0"/>
        </w:rPr>
      </w:r>
    </w:p>
    <w:p w:rsidR="00000000" w:rsidDel="00000000" w:rsidP="00000000" w:rsidRDefault="00000000" w:rsidRPr="00000000" w14:paraId="00000007">
      <w:pPr>
        <w:keepNext w:val="1"/>
        <w:spacing w:after="240" w:before="240" w:line="276" w:lineRule="auto"/>
        <w:jc w:val="left"/>
        <w:rPr>
          <w:rFonts w:ascii="Google Sans" w:cs="Google Sans" w:eastAsia="Google Sans" w:hAnsi="Google Sans"/>
          <w:b w:val="1"/>
          <w:bCs w:val="1"/>
          <w:sz w:val="20"/>
          <w:szCs w:val="20"/>
        </w:rPr>
      </w:pPr>
      <w:r w:rsidDel="00000000" w:rsidR="00000000" w:rsidRPr="00000000">
        <w:rPr>
          <w:rFonts w:ascii="Google Sans" w:cs="Google Sans" w:eastAsia="Google Sans" w:hAnsi="Google Sans"/>
          <w:b w:val="1"/>
          <w:bCs w:val="1"/>
          <w:sz w:val="20"/>
          <w:szCs w:val="20"/>
          <w:rtl w:val="0"/>
        </w:rPr>
        <w:t xml:space="preserve">Właściwy model do każdego zadania</w:t>
      </w:r>
    </w:p>
    <w:p w:rsidR="00000000" w:rsidDel="00000000" w:rsidP="00000000" w:rsidRDefault="00000000" w:rsidRPr="00000000" w14:paraId="00000008">
      <w:pPr>
        <w:keepNext w:val="0"/>
        <w:spacing w:after="240" w:before="0" w:line="276" w:lineRule="auto"/>
        <w:jc w:val="left"/>
        <w:rPr>
          <w:rFonts w:ascii="Google Sans" w:cs="Google Sans" w:eastAsia="Google Sans" w:hAnsi="Google Sans"/>
          <w:sz w:val="20"/>
          <w:szCs w:val="20"/>
        </w:rPr>
      </w:pPr>
      <w:r w:rsidDel="00000000" w:rsidR="00000000" w:rsidRPr="00000000">
        <w:rPr>
          <w:rFonts w:ascii="Google Sans" w:cs="Google Sans" w:eastAsia="Google Sans" w:hAnsi="Google Sans"/>
          <w:sz w:val="20"/>
          <w:szCs w:val="20"/>
          <w:rtl w:val="0"/>
        </w:rPr>
        <w:t xml:space="preserve">Najnowsze modele OpenAI dołączają w bibliotece modeli do Gemini i Claude. Dzięki temu zespoły zyskują wybór w pełnym zakresie zadań realizowanych w przedsiębiorstwach:</w:t>
      </w:r>
    </w:p>
    <w:p w:rsidR="00000000" w:rsidDel="00000000" w:rsidP="00000000" w:rsidRDefault="00000000" w:rsidRPr="00000000" w14:paraId="00000009">
      <w:pPr>
        <w:keepNext w:val="0"/>
        <w:numPr>
          <w:ilvl w:val="0"/>
          <w:numId w:val="3"/>
        </w:numPr>
        <w:spacing w:after="120" w:before="200" w:line="276" w:lineRule="auto"/>
        <w:ind w:left="720" w:hanging="360"/>
        <w:jc w:val="left"/>
        <w:rPr>
          <w:sz w:val="20"/>
          <w:szCs w:val="20"/>
        </w:rPr>
      </w:pPr>
      <w:r w:rsidDel="00000000" w:rsidR="00000000" w:rsidRPr="00000000">
        <w:rPr>
          <w:rFonts w:ascii="Google Sans" w:cs="Google Sans" w:eastAsia="Google Sans" w:hAnsi="Google Sans"/>
          <w:b w:val="1"/>
          <w:bCs w:val="1"/>
          <w:sz w:val="20"/>
          <w:szCs w:val="20"/>
          <w:rtl w:val="0"/>
        </w:rPr>
        <w:t xml:space="preserve">GPT-Astra:</w:t>
      </w:r>
      <w:r w:rsidDel="00000000" w:rsidR="00000000" w:rsidRPr="00000000">
        <w:rPr>
          <w:rFonts w:ascii="Google Sans" w:cs="Google Sans" w:eastAsia="Google Sans" w:hAnsi="Google Sans"/>
          <w:sz w:val="20"/>
          <w:szCs w:val="20"/>
          <w:rtl w:val="0"/>
        </w:rPr>
        <w:t xml:space="preserve"> model do wymagających zadań z zakresu programowania, obsługi komputera, pracy specjalistycznej i badań naukowych.</w:t>
      </w:r>
    </w:p>
    <w:p w:rsidR="00000000" w:rsidDel="00000000" w:rsidP="00000000" w:rsidRDefault="00000000" w:rsidRPr="00000000" w14:paraId="0000000A">
      <w:pPr>
        <w:keepNext w:val="0"/>
        <w:numPr>
          <w:ilvl w:val="0"/>
          <w:numId w:val="3"/>
        </w:numPr>
        <w:spacing w:after="0" w:before="200" w:line="276" w:lineRule="auto"/>
        <w:ind w:left="720" w:hanging="360"/>
        <w:jc w:val="left"/>
        <w:rPr>
          <w:sz w:val="20"/>
          <w:szCs w:val="20"/>
        </w:rPr>
      </w:pPr>
      <w:r w:rsidDel="00000000" w:rsidR="00000000" w:rsidRPr="00000000">
        <w:rPr>
          <w:rFonts w:ascii="Google Sans" w:cs="Google Sans" w:eastAsia="Google Sans" w:hAnsi="Google Sans"/>
          <w:b w:val="1"/>
          <w:bCs w:val="1"/>
          <w:sz w:val="20"/>
          <w:szCs w:val="20"/>
          <w:rtl w:val="0"/>
        </w:rPr>
        <w:t xml:space="preserve">GPT 6.1 Sol:</w:t>
      </w:r>
      <w:r w:rsidDel="00000000" w:rsidR="00000000" w:rsidRPr="00000000">
        <w:rPr>
          <w:rFonts w:ascii="Google Sans" w:cs="Google Sans" w:eastAsia="Google Sans" w:hAnsi="Google Sans"/>
          <w:sz w:val="20"/>
          <w:szCs w:val="20"/>
          <w:rtl w:val="0"/>
        </w:rPr>
        <w:t xml:space="preserve"> możliwości zbliżone do GPT-Astra przy niższym koszcie w programowaniu z udziałem agentów, obsłudze komputera i pracy specjalistycznej.</w:t>
      </w:r>
    </w:p>
    <w:p w:rsidR="00000000" w:rsidDel="00000000" w:rsidP="00000000" w:rsidRDefault="00000000" w:rsidRPr="00000000" w14:paraId="0000000B">
      <w:pPr>
        <w:keepNext w:val="0"/>
        <w:numPr>
          <w:ilvl w:val="0"/>
          <w:numId w:val="3"/>
        </w:numPr>
        <w:spacing w:after="240" w:before="200" w:line="276" w:lineRule="auto"/>
        <w:ind w:left="720" w:hanging="360"/>
        <w:jc w:val="left"/>
        <w:rPr>
          <w:sz w:val="20"/>
          <w:szCs w:val="20"/>
        </w:rPr>
      </w:pPr>
      <w:r w:rsidDel="00000000" w:rsidR="00000000" w:rsidRPr="00000000">
        <w:rPr>
          <w:rFonts w:ascii="Google Sans" w:cs="Google Sans" w:eastAsia="Google Sans" w:hAnsi="Google Sans"/>
          <w:b w:val="1"/>
          <w:bCs w:val="1"/>
          <w:sz w:val="20"/>
          <w:szCs w:val="20"/>
          <w:rtl w:val="0"/>
        </w:rPr>
        <w:t xml:space="preserve">GPT 6.0 Luna:</w:t>
      </w:r>
      <w:r w:rsidDel="00000000" w:rsidR="00000000" w:rsidRPr="00000000">
        <w:rPr>
          <w:rFonts w:ascii="Google Sans" w:cs="Google Sans" w:eastAsia="Google Sans" w:hAnsi="Google Sans"/>
          <w:sz w:val="20"/>
          <w:szCs w:val="20"/>
          <w:rtl w:val="0"/>
        </w:rPr>
        <w:t xml:space="preserve"> szybki i ekonomiczny model do codziennej pracy na dużą skalę.</w:t>
      </w:r>
    </w:p>
    <w:p w:rsidR="00000000" w:rsidDel="00000000" w:rsidP="00000000" w:rsidRDefault="00000000" w:rsidRPr="00000000" w14:paraId="0000000C">
      <w:pPr>
        <w:keepNext w:val="0"/>
        <w:spacing w:after="240" w:before="0" w:line="276" w:lineRule="auto"/>
        <w:jc w:val="left"/>
        <w:rPr>
          <w:rFonts w:ascii="Google Sans" w:cs="Google Sans" w:eastAsia="Google Sans" w:hAnsi="Google Sans"/>
          <w:sz w:val="20"/>
          <w:szCs w:val="20"/>
        </w:rPr>
      </w:pPr>
      <w:r w:rsidDel="00000000" w:rsidR="00000000" w:rsidRPr="00000000">
        <w:rPr>
          <w:rFonts w:ascii="Google Sans" w:cs="Google Sans" w:eastAsia="Google Sans" w:hAnsi="Google Sans"/>
          <w:sz w:val="20"/>
          <w:szCs w:val="20"/>
          <w:rtl w:val="0"/>
        </w:rPr>
        <w:t xml:space="preserve">Na platformie klienci mogą na bieżąco wybierać i wymieniać model najlepiej dopasowany do danego zastosowania, biorąc pod uwagę wydajność, metodykę działania i koszty. Nie wiąże ich przy tym architektura jednego dostawcy ani osobne umowy z dostawcami modeli. Programiści mogą budować rozwiązania, wybierając spośród setek modeli w bibliotece. Modele OpenAI są rozliczane bezpośrednio przez Google Cloud Marketplace, więc całe zużycie trafia na jedną fakturę Google Cloud, jest zaliczane na poczet istniejących zobowiązań chmurowych i wlicza się do planów Flexible Savings Plans (FSP) niezależnie od dostawcy modelu.</w:t>
      </w:r>
    </w:p>
    <w:p w:rsidR="00000000" w:rsidDel="00000000" w:rsidP="00000000" w:rsidRDefault="00000000" w:rsidRPr="00000000" w14:paraId="0000000D">
      <w:pPr>
        <w:keepNext w:val="1"/>
        <w:spacing w:after="240" w:before="240" w:line="276" w:lineRule="auto"/>
        <w:jc w:val="left"/>
        <w:rPr>
          <w:rFonts w:ascii="Google Sans" w:cs="Google Sans" w:eastAsia="Google Sans" w:hAnsi="Google Sans"/>
          <w:b w:val="1"/>
          <w:bCs w:val="1"/>
          <w:sz w:val="20"/>
          <w:szCs w:val="20"/>
        </w:rPr>
      </w:pPr>
      <w:r w:rsidDel="00000000" w:rsidR="00000000" w:rsidRPr="00000000">
        <w:rPr>
          <w:rFonts w:ascii="Google Sans" w:cs="Google Sans" w:eastAsia="Google Sans" w:hAnsi="Google Sans"/>
          <w:b w:val="1"/>
          <w:bCs w:val="1"/>
          <w:sz w:val="20"/>
          <w:szCs w:val="20"/>
          <w:rtl w:val="0"/>
        </w:rPr>
        <w:t xml:space="preserve">Zarządzanie danymi i bezpieczeństwo wbudowane w platformę</w:t>
      </w:r>
    </w:p>
    <w:p w:rsidR="00000000" w:rsidDel="00000000" w:rsidP="00000000" w:rsidRDefault="00000000" w:rsidRPr="00000000" w14:paraId="0000000E">
      <w:pPr>
        <w:keepNext w:val="0"/>
        <w:spacing w:after="240" w:before="0" w:line="276" w:lineRule="auto"/>
        <w:jc w:val="left"/>
        <w:rPr>
          <w:rFonts w:ascii="Google Sans" w:cs="Google Sans" w:eastAsia="Google Sans" w:hAnsi="Google Sans"/>
          <w:sz w:val="20"/>
          <w:szCs w:val="20"/>
        </w:rPr>
      </w:pPr>
      <w:r w:rsidDel="00000000" w:rsidR="00000000" w:rsidRPr="00000000">
        <w:rPr>
          <w:rFonts w:ascii="Google Sans" w:cs="Google Sans" w:eastAsia="Google Sans" w:hAnsi="Google Sans"/>
          <w:sz w:val="20"/>
          <w:szCs w:val="20"/>
          <w:rtl w:val="0"/>
        </w:rPr>
        <w:t xml:space="preserve">Skalowanie generatywnej AI nie powinno wymagać kompromisów w zakresie zgodności z regulacjami ani bezpieczeństwa. Platforma Gemini, od podstaw zaprojektowana z myślą o przedsiębiorstwach, już dziś cieszy się zaufaniem wiodących organizacji na całym świecie. Google Cloud zapewnia, że każde zadanie realizowane z wykorzystaniem modeli zewnętrznych dostawców, w tym OpenAI, spełnia najbardziej rygorystyczne standardy korporacyjne:</w:t>
      </w:r>
    </w:p>
    <w:p w:rsidR="00000000" w:rsidDel="00000000" w:rsidP="00000000" w:rsidRDefault="00000000" w:rsidRPr="00000000" w14:paraId="0000000F">
      <w:pPr>
        <w:keepNext w:val="0"/>
        <w:numPr>
          <w:ilvl w:val="0"/>
          <w:numId w:val="1"/>
        </w:numPr>
        <w:spacing w:after="120" w:before="200" w:line="276" w:lineRule="auto"/>
        <w:ind w:left="720" w:hanging="360"/>
        <w:jc w:val="left"/>
        <w:rPr>
          <w:sz w:val="20"/>
          <w:szCs w:val="20"/>
        </w:rPr>
      </w:pPr>
      <w:r w:rsidDel="00000000" w:rsidR="00000000" w:rsidRPr="00000000">
        <w:rPr>
          <w:rFonts w:ascii="Google Sans" w:cs="Google Sans" w:eastAsia="Google Sans" w:hAnsi="Google Sans"/>
          <w:b w:val="1"/>
          <w:bCs w:val="1"/>
          <w:sz w:val="20"/>
          <w:szCs w:val="20"/>
          <w:rtl w:val="0"/>
        </w:rPr>
        <w:t xml:space="preserve">Ścisłe granice danych:</w:t>
      </w:r>
      <w:r w:rsidDel="00000000" w:rsidR="00000000" w:rsidRPr="00000000">
        <w:rPr>
          <w:rFonts w:ascii="Google Sans" w:cs="Google Sans" w:eastAsia="Google Sans" w:hAnsi="Google Sans"/>
          <w:sz w:val="20"/>
          <w:szCs w:val="20"/>
          <w:rtl w:val="0"/>
        </w:rPr>
        <w:t xml:space="preserve"> prompty, kontekst i wyniki pozostają w całości w wyznaczonym przez klienta obszarze danych i nigdy nie są wykorzystywane do trenowania modeli bazowych. Wkrótce dostępne będą również opcje Zero Data Retention (ZDR), czyli braku przechowywania danych.</w:t>
      </w:r>
    </w:p>
    <w:p w:rsidR="00000000" w:rsidDel="00000000" w:rsidP="00000000" w:rsidRDefault="00000000" w:rsidRPr="00000000" w14:paraId="00000010">
      <w:pPr>
        <w:keepNext w:val="0"/>
        <w:numPr>
          <w:ilvl w:val="0"/>
          <w:numId w:val="1"/>
        </w:numPr>
        <w:spacing w:after="0" w:before="200" w:line="276" w:lineRule="auto"/>
        <w:ind w:left="720" w:hanging="360"/>
        <w:jc w:val="left"/>
        <w:rPr>
          <w:sz w:val="20"/>
          <w:szCs w:val="20"/>
        </w:rPr>
      </w:pPr>
      <w:r w:rsidDel="00000000" w:rsidR="00000000" w:rsidRPr="00000000">
        <w:rPr>
          <w:rFonts w:ascii="Google Sans" w:cs="Google Sans" w:eastAsia="Google Sans" w:hAnsi="Google Sans"/>
          <w:b w:val="1"/>
          <w:bCs w:val="1"/>
          <w:sz w:val="20"/>
          <w:szCs w:val="20"/>
          <w:rtl w:val="0"/>
        </w:rPr>
        <w:t xml:space="preserve">Odizolowany dostęp:</w:t>
      </w:r>
      <w:r w:rsidDel="00000000" w:rsidR="00000000" w:rsidRPr="00000000">
        <w:rPr>
          <w:rFonts w:ascii="Google Sans" w:cs="Google Sans" w:eastAsia="Google Sans" w:hAnsi="Google Sans"/>
          <w:sz w:val="20"/>
          <w:szCs w:val="20"/>
          <w:rtl w:val="0"/>
        </w:rPr>
        <w:t xml:space="preserve"> modele OpenAI działają na wydzielonej infrastrukturze Google Cloud, a wkrótce także w środowisku Confidential Compute. Wszystkie zapytania przechodzą przez zabezpieczone, odizolowane bramy. Dzięki temu przesyłane dane nie opuszczają bezpiecznego środowiska Google Cloud, a zewnętrzni dostawcy modeli nie mają nieuprawnionego dostępu do środowiska chmurowego klienta.</w:t>
      </w:r>
    </w:p>
    <w:p w:rsidR="00000000" w:rsidDel="00000000" w:rsidP="00000000" w:rsidRDefault="00000000" w:rsidRPr="00000000" w14:paraId="00000011">
      <w:pPr>
        <w:keepNext w:val="0"/>
        <w:numPr>
          <w:ilvl w:val="0"/>
          <w:numId w:val="1"/>
        </w:numPr>
        <w:spacing w:after="240" w:before="200" w:line="276" w:lineRule="auto"/>
        <w:ind w:left="720" w:hanging="360"/>
        <w:jc w:val="left"/>
        <w:rPr>
          <w:sz w:val="20"/>
          <w:szCs w:val="20"/>
        </w:rPr>
      </w:pPr>
      <w:r w:rsidDel="00000000" w:rsidR="00000000" w:rsidRPr="00000000">
        <w:rPr>
          <w:rFonts w:ascii="Google Sans" w:cs="Google Sans" w:eastAsia="Google Sans" w:hAnsi="Google Sans"/>
          <w:b w:val="1"/>
          <w:bCs w:val="1"/>
          <w:sz w:val="20"/>
          <w:szCs w:val="20"/>
          <w:rtl w:val="0"/>
        </w:rPr>
        <w:t xml:space="preserve">Jednolity audyt i tożsamość:</w:t>
      </w:r>
      <w:r w:rsidDel="00000000" w:rsidR="00000000" w:rsidRPr="00000000">
        <w:rPr>
          <w:rFonts w:ascii="Google Sans" w:cs="Google Sans" w:eastAsia="Google Sans" w:hAnsi="Google Sans"/>
          <w:sz w:val="20"/>
          <w:szCs w:val="20"/>
          <w:rtl w:val="0"/>
        </w:rPr>
        <w:t xml:space="preserve"> każda interakcja agentów i modeli odbywa się w ramach uwierzytelnionej tożsamości. Administratorzy IT zyskują pełny wgląd w działanie systemów, ochronę VPC Service Controls i ujednolicone logi audytowe w całej organizacji.</w:t>
      </w:r>
    </w:p>
    <w:p w:rsidR="00000000" w:rsidDel="00000000" w:rsidP="00000000" w:rsidRDefault="00000000" w:rsidRPr="00000000" w14:paraId="00000012">
      <w:pPr>
        <w:keepNext w:val="1"/>
        <w:spacing w:after="240" w:before="240" w:line="276" w:lineRule="auto"/>
        <w:jc w:val="left"/>
        <w:rPr>
          <w:rFonts w:ascii="Google Sans" w:cs="Google Sans" w:eastAsia="Google Sans" w:hAnsi="Google Sans"/>
          <w:b w:val="1"/>
          <w:bCs w:val="1"/>
          <w:sz w:val="20"/>
          <w:szCs w:val="20"/>
        </w:rPr>
      </w:pPr>
      <w:r w:rsidDel="00000000" w:rsidR="00000000" w:rsidRPr="00000000">
        <w:rPr>
          <w:rFonts w:ascii="Google Sans" w:cs="Google Sans" w:eastAsia="Google Sans" w:hAnsi="Google Sans"/>
          <w:b w:val="1"/>
          <w:bCs w:val="1"/>
          <w:sz w:val="20"/>
          <w:szCs w:val="20"/>
          <w:rtl w:val="0"/>
        </w:rPr>
        <w:t xml:space="preserve">Modele OpenAI trafiają już do pierwszych klientów</w:t>
      </w:r>
    </w:p>
    <w:p w:rsidR="00000000" w:rsidDel="00000000" w:rsidP="00000000" w:rsidRDefault="00000000" w:rsidRPr="00000000" w14:paraId="00000013">
      <w:pPr>
        <w:keepNext w:val="0"/>
        <w:numPr>
          <w:ilvl w:val="0"/>
          <w:numId w:val="2"/>
        </w:numPr>
        <w:spacing w:after="120" w:before="200" w:line="276" w:lineRule="auto"/>
        <w:ind w:left="720" w:hanging="360"/>
        <w:jc w:val="left"/>
        <w:rPr>
          <w:rFonts w:ascii="Google Sans" w:cs="Google Sans" w:eastAsia="Google Sans" w:hAnsi="Google Sans"/>
          <w:sz w:val="20"/>
          <w:szCs w:val="20"/>
        </w:rPr>
      </w:pPr>
      <w:r w:rsidDel="00000000" w:rsidR="00000000" w:rsidRPr="00000000">
        <w:rPr>
          <w:rFonts w:ascii="Google Sans" w:cs="Google Sans" w:eastAsia="Google Sans" w:hAnsi="Google Sans"/>
          <w:sz w:val="20"/>
          <w:szCs w:val="20"/>
          <w:rtl w:val="0"/>
        </w:rPr>
        <w:t xml:space="preserve">Modele GPT-Astra, GPT 6.1 Sol i GPT 6.0 Luna od OpenAI są już udostępniane w bibliotece modeli Google Cloud wybranym klientom korporacyjnym w ramach dostępu testowego. Kolejne modele pojawią się wkrótce.</w:t>
      </w:r>
    </w:p>
    <w:p w:rsidR="00000000" w:rsidDel="00000000" w:rsidP="00000000" w:rsidRDefault="00000000" w:rsidRPr="00000000" w14:paraId="00000014">
      <w:pPr>
        <w:keepNext w:val="0"/>
        <w:numPr>
          <w:ilvl w:val="0"/>
          <w:numId w:val="2"/>
        </w:numPr>
        <w:spacing w:after="0" w:before="200" w:line="276" w:lineRule="auto"/>
        <w:ind w:left="720" w:hanging="360"/>
        <w:jc w:val="left"/>
        <w:rPr>
          <w:rFonts w:ascii="Google Sans" w:cs="Google Sans" w:eastAsia="Google Sans" w:hAnsi="Google Sans"/>
          <w:sz w:val="20"/>
          <w:szCs w:val="20"/>
        </w:rPr>
      </w:pPr>
      <w:r w:rsidDel="00000000" w:rsidR="00000000" w:rsidRPr="00000000">
        <w:rPr>
          <w:rFonts w:ascii="Google Sans" w:cs="Google Sans" w:eastAsia="Google Sans" w:hAnsi="Google Sans"/>
          <w:sz w:val="20"/>
          <w:szCs w:val="20"/>
          <w:rtl w:val="0"/>
        </w:rPr>
        <w:t xml:space="preserve">Od dziś klienci mogą budować rozwiązania z wykorzystaniem tych modeli przez API Google Cloud, a także podłączać lokalne środowiska pracy w Codex CLI i aplikacji Codex Desktop bezpośrednio do platformy Gemini.</w:t>
      </w:r>
    </w:p>
    <w:p w:rsidR="00000000" w:rsidDel="00000000" w:rsidP="00000000" w:rsidRDefault="00000000" w:rsidRPr="00000000" w14:paraId="00000015">
      <w:pPr>
        <w:keepNext w:val="0"/>
        <w:numPr>
          <w:ilvl w:val="0"/>
          <w:numId w:val="2"/>
        </w:numPr>
        <w:spacing w:after="240" w:before="200" w:line="276" w:lineRule="auto"/>
        <w:ind w:left="720" w:hanging="360"/>
        <w:jc w:val="left"/>
        <w:rPr>
          <w:rFonts w:ascii="Google Sans" w:cs="Google Sans" w:eastAsia="Google Sans" w:hAnsi="Google Sans"/>
          <w:sz w:val="20"/>
          <w:szCs w:val="20"/>
        </w:rPr>
      </w:pPr>
      <w:r w:rsidDel="00000000" w:rsidR="00000000" w:rsidRPr="00000000">
        <w:rPr>
          <w:rFonts w:ascii="Google Sans" w:cs="Google Sans" w:eastAsia="Google Sans" w:hAnsi="Google Sans"/>
          <w:sz w:val="20"/>
          <w:szCs w:val="20"/>
          <w:rtl w:val="0"/>
        </w:rPr>
        <w:t xml:space="preserve">Wkrótce modele OpenAI będą dostępne również w Gemini for business oraz Google Antigravity. Klienci biznesowi i programiści zyskają swobodę wyboru modelu i dostęp do najlepszego modelu do każdego zadania.</w:t>
      </w:r>
    </w:p>
    <w:p w:rsidR="00000000" w:rsidDel="00000000" w:rsidP="00000000" w:rsidRDefault="00000000" w:rsidRPr="00000000" w14:paraId="00000016">
      <w:pPr>
        <w:keepNext w:val="0"/>
        <w:spacing w:after="240" w:before="0" w:line="276" w:lineRule="auto"/>
        <w:jc w:val="left"/>
        <w:rPr>
          <w:rFonts w:ascii="Google Sans" w:cs="Google Sans" w:eastAsia="Google Sans" w:hAnsi="Google Sans"/>
          <w:sz w:val="20"/>
          <w:szCs w:val="20"/>
        </w:rPr>
      </w:pPr>
      <w:r w:rsidDel="00000000" w:rsidR="00000000" w:rsidRPr="00000000">
        <w:rPr>
          <w:rFonts w:ascii="Google Sans" w:cs="Google Sans" w:eastAsia="Google Sans" w:hAnsi="Google Sans"/>
          <w:sz w:val="20"/>
          <w:szCs w:val="20"/>
          <w:rtl w:val="0"/>
        </w:rPr>
        <w:t xml:space="preserve">Więcej informacji można znaleźć na blogach </w:t>
      </w:r>
      <w:hyperlink r:id="rId6">
        <w:r w:rsidDel="00000000" w:rsidR="00000000" w:rsidRPr="00000000">
          <w:rPr>
            <w:rFonts w:ascii="Google Sans" w:cs="Google Sans" w:eastAsia="Google Sans" w:hAnsi="Google Sans"/>
            <w:color w:val="1155cc"/>
            <w:sz w:val="20"/>
            <w:szCs w:val="20"/>
            <w:u w:val="single"/>
            <w:rtl w:val="0"/>
          </w:rPr>
          <w:t xml:space="preserve">Google Cloud</w:t>
        </w:r>
      </w:hyperlink>
      <w:r w:rsidDel="00000000" w:rsidR="00000000" w:rsidRPr="00000000">
        <w:rPr>
          <w:rFonts w:ascii="Google Sans" w:cs="Google Sans" w:eastAsia="Google Sans" w:hAnsi="Google Sans"/>
          <w:sz w:val="20"/>
          <w:szCs w:val="20"/>
          <w:rtl w:val="0"/>
        </w:rPr>
        <w:t xml:space="preserve"> i </w:t>
      </w:r>
      <w:hyperlink r:id="rId7">
        <w:r w:rsidDel="00000000" w:rsidR="00000000" w:rsidRPr="00000000">
          <w:rPr>
            <w:rFonts w:ascii="Google Sans" w:cs="Google Sans" w:eastAsia="Google Sans" w:hAnsi="Google Sans"/>
            <w:color w:val="1155cc"/>
            <w:sz w:val="20"/>
            <w:szCs w:val="20"/>
            <w:u w:val="single"/>
            <w:rtl w:val="0"/>
          </w:rPr>
          <w:t xml:space="preserve">OpenAI</w:t>
        </w:r>
      </w:hyperlink>
      <w:r w:rsidDel="00000000" w:rsidR="00000000" w:rsidRPr="00000000">
        <w:rPr>
          <w:rFonts w:ascii="Google Sans" w:cs="Google Sans" w:eastAsia="Google Sans" w:hAnsi="Google Sans"/>
          <w:sz w:val="20"/>
          <w:szCs w:val="20"/>
          <w:rtl w:val="0"/>
        </w:rPr>
        <w:t xml:space="preserve">.</w:t>
      </w:r>
    </w:p>
    <w:p w:rsidR="00000000" w:rsidDel="00000000" w:rsidP="00000000" w:rsidRDefault="00000000" w:rsidRPr="00000000" w14:paraId="00000017">
      <w:pPr>
        <w:keepNext w:val="0"/>
        <w:spacing w:after="240" w:before="240" w:line="360" w:lineRule="auto"/>
        <w:jc w:val="center"/>
        <w:rPr>
          <w:rFonts w:ascii="Google Sans" w:cs="Google Sans" w:eastAsia="Google Sans" w:hAnsi="Google Sans"/>
          <w:sz w:val="20"/>
          <w:szCs w:val="20"/>
        </w:rPr>
      </w:pPr>
      <w:r w:rsidDel="00000000" w:rsidR="00000000" w:rsidRPr="00000000">
        <w:rPr>
          <w:rFonts w:ascii="Google Sans" w:cs="Google Sans" w:eastAsia="Google Sans" w:hAnsi="Google Sans"/>
          <w:sz w:val="20"/>
          <w:szCs w:val="20"/>
          <w:rtl w:val="0"/>
        </w:rPr>
        <w:t xml:space="preserve"># # #</w:t>
      </w:r>
    </w:p>
    <w:p w:rsidR="00000000" w:rsidDel="00000000" w:rsidP="00000000" w:rsidRDefault="00000000" w:rsidRPr="00000000" w14:paraId="00000018">
      <w:pPr>
        <w:keepNext w:val="1"/>
        <w:spacing w:after="80" w:before="0" w:line="276" w:lineRule="auto"/>
        <w:jc w:val="left"/>
        <w:rPr>
          <w:rFonts w:ascii="Google Sans" w:cs="Google Sans" w:eastAsia="Google Sans" w:hAnsi="Google Sans"/>
          <w:b w:val="1"/>
          <w:bCs w:val="1"/>
          <w:sz w:val="20"/>
          <w:szCs w:val="20"/>
        </w:rPr>
      </w:pPr>
      <w:r w:rsidDel="00000000" w:rsidR="00000000" w:rsidRPr="00000000">
        <w:rPr>
          <w:rFonts w:ascii="Google Sans" w:cs="Google Sans" w:eastAsia="Google Sans" w:hAnsi="Google Sans"/>
          <w:b w:val="1"/>
          <w:bCs w:val="1"/>
          <w:sz w:val="20"/>
          <w:szCs w:val="20"/>
          <w:rtl w:val="0"/>
        </w:rPr>
        <w:t xml:space="preserve">O Google Cloud</w:t>
      </w:r>
    </w:p>
    <w:p w:rsidR="00000000" w:rsidDel="00000000" w:rsidP="00000000" w:rsidRDefault="00000000" w:rsidRPr="00000000" w14:paraId="00000019">
      <w:pPr>
        <w:keepNext w:val="0"/>
        <w:spacing w:after="240" w:before="0" w:line="276" w:lineRule="auto"/>
        <w:jc w:val="left"/>
        <w:rPr>
          <w:rFonts w:ascii="Google Sans" w:cs="Google Sans" w:eastAsia="Google Sans" w:hAnsi="Google Sans"/>
          <w:sz w:val="20"/>
          <w:szCs w:val="20"/>
        </w:rPr>
      </w:pPr>
      <w:r w:rsidDel="00000000" w:rsidR="00000000" w:rsidRPr="00000000">
        <w:rPr>
          <w:rFonts w:ascii="Google Sans" w:cs="Google Sans" w:eastAsia="Google Sans" w:hAnsi="Google Sans"/>
          <w:sz w:val="20"/>
          <w:szCs w:val="20"/>
          <w:rtl w:val="0"/>
        </w:rPr>
        <w:t xml:space="preserve">Google Cloud oferuje wydajny i zoptymalizowany stos technologiczny AI – obejmujący infrastrukturę AI, wiodące modele, takie jak Gemini, funkcje zarządzania danymi, rozwiązania w zakresie bezpieczeństwa w środowisku wielochmurowym, narzędzia i platformę dla programistów, a także agenty i aplikacje – aby wspierać organizacje w transformacji biznesowej w erze agentów AI. Klienci w ponad 200 krajach i terytoriach wybierają Google Cloud jako zaufanego partnera technologicznego.</w:t>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widowControl w:val="0"/>
      <w:spacing w:after="240" w:before="240" w:line="240" w:lineRule="auto"/>
      <w:jc w:val="right"/>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-152399</wp:posOffset>
          </wp:positionH>
          <wp:positionV relativeFrom="paragraph">
            <wp:posOffset>-209549</wp:posOffset>
          </wp:positionV>
          <wp:extent cx="723900" cy="563033"/>
          <wp:effectExtent b="0" l="0" r="0" t="0"/>
          <wp:wrapNone/>
          <wp:docPr id="1" name="image1.png"/>
          <a:graphic>
            <a:graphicData uri="http://schemas.openxmlformats.org/drawingml/2006/picture">
              <pic:pic>
                <pic:nvPicPr>
                  <pic:cNvPr id="0" name="image1.png"/>
                  <pic:cNvPicPr preferRelativeResize="0"/>
                </pic:nvPicPr>
                <pic:blipFill>
                  <a:blip r:embed="rId1"/>
                  <a:srcRect b="0" l="-16725" r="-10262" t="0"/>
                  <a:stretch>
                    <a:fillRect/>
                  </a:stretch>
                </pic:blipFill>
                <pic:spPr>
                  <a:xfrm>
                    <a:off x="0" y="0"/>
                    <a:ext cx="723900" cy="56303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cloud.google.com/blog/products/ai-machine-learning/google-cloud-brings-openai-models-to-customers" TargetMode="External"/><Relationship Id="rId7" Type="http://schemas.openxmlformats.org/officeDocument/2006/relationships/hyperlink" Target="https://openai.com/index/openai-models-google-cloud"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