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header3.xml" ContentType="application/vnd.openxmlformats-officedocument.wordprocessingml.header+xml"/>
  <Override PartName="/word/styles.xml" ContentType="application/vnd.openxmlformats-officedocument.wordprocessingml.styles+xml"/>
  <Override PartName="/word/footer1.xml" ContentType="application/vnd.openxmlformats-officedocument.wordprocessingml.footer+xml"/>
  <Override PartName="/word/document.xml" ContentType="application/vnd.openxmlformats-officedocument.wordprocessingml.document.main+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76"/>
        <w:rPr>
          <w:rFonts w:ascii="Arial" w:hAnsi="Arial" w:cs="Arial" w:asciiTheme="minorHAnsi" w:cstheme="minorHAnsi" w:hAnsiTheme="minorHAnsi"/>
        </w:rPr>
      </w:pPr>
      <w:r>
        <w:rPr>
          <w:rFonts w:cs="Arial" w:cstheme="minorHAnsi"/>
        </w:rPr>
      </w:r>
    </w:p>
    <w:p>
      <w:pPr>
        <w:pStyle w:val="Normal"/>
        <w:spacing w:lineRule="auto" w:line="276"/>
        <w:rPr/>
      </w:pPr>
      <w:r>
        <w:rPr/>
      </w:r>
    </w:p>
    <w:p>
      <w:pPr>
        <w:pStyle w:val="Normal"/>
        <w:spacing w:lineRule="auto" w:line="276"/>
        <w:jc w:val="center"/>
        <w:rPr>
          <w:b/>
          <w:color w:themeColor="accent1" w:val="FE5B1B"/>
          <w:sz w:val="28"/>
          <w:szCs w:val="28"/>
          <w:lang w:val="pl-PL"/>
        </w:rPr>
      </w:pPr>
      <w:r>
        <w:rPr>
          <w:b/>
          <w:color w:themeColor="accent1" w:val="FE5B1B"/>
          <w:sz w:val="28"/>
          <w:szCs w:val="28"/>
          <w:lang w:val="pl-PL"/>
        </w:rPr>
        <w:t>Vertiv i NVIDIA przedstawiają rozwiązanie, które zwiększy łączną liczbę tokenów generowanych przez AI nawet o 30% w ciągu pierwszego roku</w:t>
      </w:r>
    </w:p>
    <w:p>
      <w:pPr>
        <w:pStyle w:val="Normal"/>
        <w:spacing w:lineRule="auto" w:line="276"/>
        <w:jc w:val="center"/>
        <w:rPr>
          <w:b/>
          <w:color w:themeColor="accent1" w:val="FE5B1B"/>
          <w:lang w:val="pl-PL"/>
        </w:rPr>
      </w:pPr>
      <w:r>
        <w:rPr>
          <w:b/>
          <w:color w:themeColor="accent1" w:val="FE5B1B"/>
          <w:lang w:val="pl-PL"/>
        </w:rPr>
      </w:r>
    </w:p>
    <w:p>
      <w:pPr>
        <w:pStyle w:val="Normal"/>
        <w:spacing w:lineRule="auto" w:line="276"/>
        <w:jc w:val="center"/>
        <w:rPr>
          <w:rStyle w:val="s1"/>
          <w:rFonts w:ascii="Arial" w:hAnsi="Arial" w:eastAsia="" w:eastAsiaTheme="minorEastAsia"/>
          <w:i/>
          <w:iCs/>
          <w:color w:val="000000"/>
          <w:sz w:val="24"/>
          <w:szCs w:val="24"/>
          <w:lang w:val="pl-PL"/>
        </w:rPr>
      </w:pPr>
      <w:r>
        <w:rPr>
          <w:rStyle w:val="s1"/>
          <w:rFonts w:eastAsia="" w:eastAsiaTheme="minorEastAsia"/>
          <w:i/>
          <w:iCs/>
          <w:color w:val="000000"/>
          <w:sz w:val="22"/>
          <w:szCs w:val="22"/>
          <w:lang w:val="pl-PL"/>
        </w:rPr>
        <w:t>Gotowe projekty referencyjne pozwalają nawet 10-krotnie skrócić czas konfigurowania i walidacji infrastruktury. Połączenie ich z prefabrykowanymi rozwiązaniami oraz platformą agentów AI firmy Dassault Systèmes przyspieszy uruchamianie nowych centrów danych</w:t>
      </w:r>
      <w:r>
        <w:rPr>
          <w:rStyle w:val="s1"/>
          <w:rFonts w:eastAsia="" w:eastAsiaTheme="minorEastAsia"/>
          <w:i/>
          <w:iCs/>
          <w:color w:val="000000"/>
          <w:sz w:val="24"/>
          <w:szCs w:val="24"/>
          <w:lang w:val="pl-PL"/>
        </w:rPr>
        <w:t>.</w:t>
      </w:r>
    </w:p>
    <w:p>
      <w:pPr>
        <w:pStyle w:val="Normal"/>
        <w:spacing w:lineRule="auto" w:line="276"/>
        <w:rPr>
          <w:b/>
          <w:bCs/>
          <w:lang w:val="pl-PL"/>
        </w:rPr>
      </w:pPr>
      <w:r>
        <w:rPr>
          <w:b/>
          <w:bCs/>
          <w:lang w:val="pl-PL"/>
        </w:rPr>
      </w:r>
    </w:p>
    <w:p>
      <w:pPr>
        <w:pStyle w:val="Normal"/>
        <w:spacing w:lineRule="auto" w:line="276"/>
        <w:jc w:val="both"/>
        <w:rPr>
          <w:sz w:val="20"/>
          <w:szCs w:val="20"/>
          <w:lang w:val="pl-PL"/>
        </w:rPr>
      </w:pPr>
      <w:r>
        <w:rPr>
          <w:b/>
          <w:bCs/>
          <w:sz w:val="20"/>
          <w:szCs w:val="20"/>
          <w:lang w:val="pl-PL"/>
        </w:rPr>
        <w:t>BERLIN, Niemcy, 2 listopada 2026 r.</w:t>
      </w:r>
      <w:r>
        <w:rPr>
          <w:sz w:val="20"/>
          <w:szCs w:val="20"/>
          <w:lang w:val="pl-PL"/>
        </w:rPr>
        <w:t xml:space="preserve"> – Podczas konferencji </w:t>
      </w:r>
      <w:hyperlink r:id="rId2">
        <w:r>
          <w:rPr>
            <w:rStyle w:val="Hyperlink"/>
            <w:sz w:val="20"/>
            <w:szCs w:val="20"/>
            <w:lang w:val="pl-PL"/>
          </w:rPr>
          <w:t>NVIDIA GTC</w:t>
        </w:r>
      </w:hyperlink>
      <w:r>
        <w:rPr>
          <w:sz w:val="20"/>
          <w:szCs w:val="20"/>
          <w:lang w:val="pl-PL"/>
        </w:rPr>
        <w:t xml:space="preserve"> w Berlinie firmy Vertiv Holdings Co. i NVIDIA przedstawiły nową koncepcję budowy fabryk AI, łączącą szybkie konfigurowanie i wirtualną weryfikację gotowych projektów referencyjnych z wykorzystaniem infrastruktury przygotowywanej w fabryce Vertiv. Celem jest skrócenie czasu od rozpoczęcia projektu do uruchomienia infrastruktury zdolnej do obsługi produkcyjnych obliczeń sztucznej inteligencji. Według modelu opracowanego przez firmy rozwiązanie to może zwiększyć o nawet 30% łączną liczbę tokenów wygenerowanych w ciągu pierwszych 12 miesięcy, przy tej samej zainstalowanej mocy obliczeniowej</w:t>
      </w:r>
      <w:r>
        <w:rPr>
          <w:sz w:val="20"/>
          <w:szCs w:val="20"/>
          <w:vertAlign w:val="superscript"/>
          <w:lang w:val="pl-PL"/>
        </w:rPr>
        <w:t>1</w:t>
      </w:r>
      <w:r>
        <w:rPr>
          <w:sz w:val="20"/>
          <w:szCs w:val="20"/>
          <w:lang w:val="pl-PL"/>
        </w:rPr>
        <w:t>. Koncepcja ta została już zastosowania przez firmę Polar Data Centers, która wykorzystuje prefabrykowaną infrastrukturę w pierwszym etapie budowy centrum danych AI o mocy 41 MW na norweskim półwyspie Herøya.</w:t>
      </w:r>
    </w:p>
    <w:p>
      <w:pPr>
        <w:pStyle w:val="Normal"/>
        <w:spacing w:lineRule="auto" w:line="276"/>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Operatorom fabryk AI samo zapewnienie mocy obliczeniowej nie wystarcza. Tradycyjna realizacja inwestycji wymaga często osobnego projektowania i stopniowej integracji systemów zasilania, chłodzenia oraz infrastruktury obiektu. Zwiększa to złożoność całego przedsięwzięcia oraz wprowadza ryzyko opóźnień. Vertiv i NVIDIA proponują rozpoczynanie prac od gotowych projektów referencyjnych fabryk AI, które można dostosować do wymagań klienta i lokalizacji, poddać walidacji w środowisku wirtualnym, a następnie wykorzystać jako podstawę do przygotowania infrastruktury już w fabryce.</w:t>
      </w:r>
    </w:p>
    <w:p>
      <w:pPr>
        <w:pStyle w:val="Normal"/>
        <w:spacing w:lineRule="auto" w:line="276"/>
        <w:jc w:val="both"/>
        <w:rPr>
          <w:sz w:val="20"/>
          <w:szCs w:val="20"/>
          <w:lang w:val="pl-PL"/>
        </w:rPr>
      </w:pPr>
      <w:r>
        <w:rPr>
          <w:sz w:val="20"/>
          <w:szCs w:val="20"/>
          <w:lang w:val="pl-PL"/>
        </w:rPr>
      </w:r>
    </w:p>
    <w:p>
      <w:pPr>
        <w:pStyle w:val="Normal"/>
        <w:spacing w:lineRule="auto" w:line="276"/>
        <w:jc w:val="both"/>
        <w:rPr>
          <w:b/>
          <w:bCs/>
          <w:sz w:val="20"/>
          <w:szCs w:val="20"/>
          <w:lang w:val="pl-PL"/>
        </w:rPr>
      </w:pPr>
      <w:r>
        <w:rPr>
          <w:b/>
          <w:bCs/>
          <w:sz w:val="20"/>
          <w:szCs w:val="20"/>
          <w:lang w:val="pl-PL"/>
        </w:rPr>
        <w:t>Nawet do 10 razy szybsze projektowanie i walidacja w oparciu o projekty referencyjne</w:t>
      </w:r>
      <w:r>
        <w:rPr>
          <w:b/>
          <w:bCs/>
          <w:sz w:val="20"/>
          <w:szCs w:val="20"/>
          <w:vertAlign w:val="superscript"/>
          <w:lang w:val="pl-PL"/>
        </w:rPr>
        <w:t>2</w:t>
      </w:r>
    </w:p>
    <w:p>
      <w:pPr>
        <w:pStyle w:val="Normal"/>
        <w:spacing w:lineRule="auto" w:line="276"/>
        <w:jc w:val="both"/>
        <w:rPr>
          <w:sz w:val="20"/>
          <w:szCs w:val="20"/>
          <w:lang w:val="pl-PL"/>
        </w:rPr>
      </w:pPr>
      <w:r>
        <w:rPr>
          <w:sz w:val="20"/>
          <w:szCs w:val="20"/>
          <w:lang w:val="pl-PL"/>
        </w:rPr>
        <w:t xml:space="preserve">Dzięki nawiązanej przez firmy Vertiv i NVIDIA współpracy zespoły projektowe mogą korzystać z gotowych projektów referencyjnych fabryk AI oraz dostosowywać je we wspólnym środowisku wirtualnym do konkretnych wymagań dotyczących mocy obliczeniowej, zasilania, chłodzenia i infrastruktury obiektu. Rozwiązanie łączy projekt referencyjny NVIDIA Vera Rubin DSX AI Factory z narzędziem </w:t>
      </w:r>
      <w:hyperlink r:id="rId3">
        <w:r>
          <w:rPr>
            <w:rStyle w:val="Hyperlink"/>
            <w:sz w:val="20"/>
            <w:szCs w:val="20"/>
            <w:lang w:val="pl-PL"/>
          </w:rPr>
          <w:t>NVIDIA Omniverse DSX Blueprint</w:t>
        </w:r>
      </w:hyperlink>
      <w:r>
        <w:rPr>
          <w:sz w:val="20"/>
          <w:szCs w:val="20"/>
          <w:lang w:val="pl-PL"/>
        </w:rPr>
        <w:t>, wirtualnymi zasobami SimReady firmy Vertiv obejmującymi systemy zasilania i chłodzenia oraz wykorzystującą agentów AI platformą 3DEXPERIENCE firmy Dassault Systèmes.</w:t>
      </w:r>
    </w:p>
    <w:p>
      <w:pPr>
        <w:pStyle w:val="Normal"/>
        <w:spacing w:lineRule="auto" w:line="276"/>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Zamiast opracowywać zintegrowany projekt infrastruktury od podstaw, zespoły mogą dostosować sprawdzone rozwiązania do wymagań inwestycji, a następnie zweryfikować je wirtualnie pod kątem zgodności, wzajemnych zależności i ograniczeń technicznych. W zamodelowanym scenariuszu czas potrzebny na przejście od określenia wymagań do skonfigurowania i zweryfikowania rozwiązania skraca się z około 30 dni do nawet trzech, czyli dziesięciokrotnie.</w:t>
      </w:r>
    </w:p>
    <w:p>
      <w:pPr>
        <w:pStyle w:val="Normal"/>
        <w:spacing w:lineRule="auto" w:line="276"/>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Vertiv udostępnia również modele urządzeń zasilających i chłodzących w formacie SimReady OpenUSD w bibliotece SimReady Central Library na platformie Hugging Face. Inżynierowie mogą wyszukiwać i ponownie wykorzystywać zweryfikowane modele urządzeń w technologii digital twin fabryk AI. Ogranicza to czas przygotowania zasobów oraz ułatwia porównywanie wariantów infrastruktury na etapie projektowania.</w:t>
      </w:r>
    </w:p>
    <w:p>
      <w:pPr>
        <w:pStyle w:val="Normal"/>
        <w:spacing w:lineRule="auto" w:line="276"/>
        <w:jc w:val="both"/>
        <w:rPr>
          <w:sz w:val="20"/>
          <w:szCs w:val="20"/>
          <w:lang w:val="pl-PL"/>
        </w:rPr>
      </w:pPr>
      <w:r>
        <w:rPr>
          <w:sz w:val="20"/>
          <w:szCs w:val="20"/>
          <w:lang w:val="pl-PL"/>
        </w:rPr>
      </w:r>
    </w:p>
    <w:p>
      <w:pPr>
        <w:pStyle w:val="Normal"/>
        <w:spacing w:lineRule="auto" w:line="276"/>
        <w:jc w:val="both"/>
        <w:rPr>
          <w:b/>
          <w:bCs/>
          <w:sz w:val="20"/>
          <w:szCs w:val="20"/>
          <w:vertAlign w:val="superscript"/>
          <w:lang w:val="pl-PL"/>
        </w:rPr>
      </w:pPr>
      <w:r>
        <w:rPr>
          <w:b/>
          <w:bCs/>
          <w:sz w:val="20"/>
          <w:szCs w:val="20"/>
          <w:lang w:val="pl-PL"/>
        </w:rPr>
        <w:t>Infrastruktura zbudowana w fabryce może być wdrażana nawet o 50% szybciej</w:t>
      </w:r>
      <w:r>
        <w:rPr>
          <w:b/>
          <w:bCs/>
          <w:sz w:val="20"/>
          <w:szCs w:val="20"/>
          <w:vertAlign w:val="superscript"/>
          <w:lang w:val="pl-PL"/>
        </w:rPr>
        <w:t>3</w:t>
      </w:r>
    </w:p>
    <w:p>
      <w:pPr>
        <w:pStyle w:val="Normal"/>
        <w:spacing w:lineRule="auto" w:line="276"/>
        <w:jc w:val="both"/>
        <w:rPr>
          <w:sz w:val="20"/>
          <w:szCs w:val="20"/>
          <w:lang w:val="pl-PL"/>
        </w:rPr>
      </w:pPr>
      <w:r>
        <w:rPr>
          <w:sz w:val="20"/>
          <w:szCs w:val="20"/>
          <w:lang w:val="pl-PL"/>
        </w:rPr>
        <w:t>Po zatwierdzeniu konfiguracji fabryki AI przez klienta, Vertiv prowadzi znaczną część montażu, integracji i testów we własnym zakładzie produkcyjnym, zanim rozwiązanie trafi do miejsca docelowego. Oferta prefabrykowanych systemów obejmuje budowane hybrydowo moduły centrów danych Vertiv OneCore, zapewniające integrację zasilania, klimatyzacji i dodatkowej infrastruktury, a także prefabrykowany, instalowany nad szafami serwerowymi system infrastruktury wysokiej gęstości Vertiv SmartRun, przeznaczony do dystrybucji energii elektrycznej, chłodzenia cieczą, prowadzenia sieci i zarządzania przestrzenią IT.</w:t>
      </w:r>
    </w:p>
    <w:p>
      <w:pPr>
        <w:pStyle w:val="Normal"/>
        <w:spacing w:lineRule="auto" w:line="276"/>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Przeniesienie większej części prac poza teren inwestycji ogranicza poziom skomplikowania montażu i integracji wykonywanych w centrum danych. W założonym scenariuszu czas wdrożenia infrastruktury zbudowanej jeszcze w fabryce skraca się z około 90 do 45 dni, czyli nawet o 50%.</w:t>
      </w:r>
    </w:p>
    <w:p>
      <w:pPr>
        <w:pStyle w:val="Normal"/>
        <w:spacing w:lineRule="auto" w:line="276"/>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Połączenie szybszego konfigurowania i walidacji ustawień z procesem prefabrykacji skraca łączny czas tych etapów z około 120 do 48 dni. Dzięki temu infrastruktura może rozpocząć pracę 10 tygodni wcześniej, co pozwala uzyskać do 30% więcej wygenerowanych tokenów w ciągu pierwszego roku od rozpoczęcia projektu, bez zwiększania zainstalowanej mocy obliczeniowej.</w:t>
      </w:r>
    </w:p>
    <w:p>
      <w:pPr>
        <w:pStyle w:val="Normal"/>
        <w:spacing w:lineRule="auto" w:line="276"/>
        <w:jc w:val="both"/>
        <w:rPr>
          <w:sz w:val="20"/>
          <w:szCs w:val="20"/>
          <w:lang w:val="pl-PL"/>
        </w:rPr>
      </w:pPr>
      <w:r>
        <w:rPr>
          <w:sz w:val="20"/>
          <w:szCs w:val="20"/>
          <w:lang w:val="pl-PL"/>
        </w:rPr>
      </w:r>
    </w:p>
    <w:p>
      <w:pPr>
        <w:pStyle w:val="Normal"/>
        <w:spacing w:lineRule="auto" w:line="276"/>
        <w:jc w:val="both"/>
        <w:rPr>
          <w:b/>
          <w:bCs/>
          <w:sz w:val="20"/>
          <w:szCs w:val="20"/>
          <w:lang w:val="pl-PL"/>
        </w:rPr>
      </w:pPr>
      <w:r>
        <w:rPr>
          <w:b/>
          <w:bCs/>
          <w:sz w:val="20"/>
          <w:szCs w:val="20"/>
          <w:lang w:val="pl-PL"/>
        </w:rPr>
        <w:t>Polar Data Centers wdraża fabrykę AI na norweskim półwyspie Herøya</w:t>
      </w:r>
    </w:p>
    <w:p>
      <w:pPr>
        <w:pStyle w:val="Normal"/>
        <w:spacing w:lineRule="auto" w:line="276"/>
        <w:jc w:val="both"/>
        <w:rPr>
          <w:sz w:val="20"/>
          <w:szCs w:val="20"/>
          <w:lang w:val="pl-PL"/>
        </w:rPr>
      </w:pPr>
      <w:r>
        <w:rPr>
          <w:sz w:val="20"/>
          <w:szCs w:val="20"/>
          <w:lang w:val="pl-PL"/>
        </w:rPr>
        <w:t>W swoim kampusie na półwyspie Herøya w Norwegii firma Polar Data Centers wykorzystuje model wdrażania infrastruktury przygotowywanej w fabryce. Rozwiązanie zastosowano w pierwszej fazie wieloetapowej budowy centrum danych AI o mocy 41 MW, którego docelowa moc ma wynieść 100 MW. Przeniesienie znacznej części montażu, integracji i testów do fabryki wpłynęło na ograniczenie złożoności prac wykonywanych na miejscu w nowym centrum danych i przyspieszyło udostępnianie infrastruktury przeznaczonej do obliczeń o wysokiej gęstości, chłodzonych cieczą. Vertiv dostarcza prefabrykowane moduły zasilania i chłodzenia, infrastrukturę instalowaną nad szafami serwerowymi Vertiv SmartRun oraz rozwiązanie Vertiv SmartMod. Całość zarządzana jest za pomocą oprogramowania Vertiv Unify.</w:t>
      </w:r>
    </w:p>
    <w:p>
      <w:pPr>
        <w:pStyle w:val="Normal"/>
        <w:spacing w:lineRule="auto" w:line="276"/>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 xml:space="preserve">– </w:t>
      </w:r>
      <w:r>
        <w:rPr>
          <w:i/>
          <w:iCs/>
          <w:sz w:val="20"/>
          <w:szCs w:val="20"/>
          <w:lang w:val="pl-PL"/>
        </w:rPr>
        <w:t>W fabryce AI zwrot z inwestycji zależy od liczby wygenerowanych tokenów. Każdy dzień poświęcony na konfigurowanie infrastruktury lub integrację systemów oznacza utracone moce produkcyjne, których nie da się później odzyskać</w:t>
      </w:r>
      <w:r>
        <w:rPr>
          <w:sz w:val="20"/>
          <w:szCs w:val="20"/>
          <w:lang w:val="pl-PL"/>
        </w:rPr>
        <w:t xml:space="preserve"> – powiedział Giordano Albertazzi, dyrektor generalny Vertiv. – </w:t>
      </w:r>
      <w:r>
        <w:rPr>
          <w:i/>
          <w:iCs/>
          <w:sz w:val="20"/>
          <w:szCs w:val="20"/>
          <w:lang w:val="pl-PL"/>
        </w:rPr>
        <w:t>O powodzeniu decyduje to, jak szybko operatorzy mogą przejść od określenia wymagań do uruchomienia infrastruktury obsługującej rzeczywiste obciążenia AI. Gotowe projekty referencyjne, które można szybko skonfigurować i walidować, w połączeniu z prefabrykacją pozwalają ograniczyć złożoność inwestycji i przyspieszyć wdrożenie, a przez to umożliwiają wcześniejsze uruchomienie mocy obliczeniowej. Polar Data Centers pokazuje, jak zastosować to podejście w rzeczywistym projekcie na dużą skalę.</w:t>
      </w:r>
    </w:p>
    <w:p>
      <w:pPr>
        <w:pStyle w:val="Normal"/>
        <w:spacing w:lineRule="auto" w:line="276"/>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 xml:space="preserve">– </w:t>
      </w:r>
      <w:r>
        <w:rPr>
          <w:i/>
          <w:iCs/>
          <w:sz w:val="20"/>
          <w:szCs w:val="20"/>
          <w:lang w:val="pl-PL"/>
        </w:rPr>
        <w:t>Fabryki AI trzeba projektować jako spójne systemy. Projekt referencyjny NVIDIA Vera Rubin DSX AI Factory pozwala od początku uwzględnić wzajemne zależności między wymaganiami dotyczącymi mocy obliczeniowej, zasilania i chłodzenia</w:t>
      </w:r>
      <w:r>
        <w:rPr>
          <w:sz w:val="20"/>
          <w:szCs w:val="20"/>
          <w:lang w:val="pl-PL"/>
        </w:rPr>
        <w:t xml:space="preserve"> – powiedział Vladimir Troy, wiceprezes ds. infrastruktury AI w firmie NVIDIA. – </w:t>
      </w:r>
      <w:r>
        <w:rPr>
          <w:i/>
          <w:iCs/>
          <w:sz w:val="20"/>
          <w:szCs w:val="20"/>
          <w:lang w:val="pl-PL"/>
        </w:rPr>
        <w:t>Dzięki NVIDIA Omniverse DSX Blueprint firmy takie jak Vertiv i Dassault Systèmes mogą wspólnie symulować działanie tych systemów oraz przenosić zintegrowany projekt do etapu realizacji. Pozwala to wcześniej wykrywać i rozwiązywać problemy oraz szybciej uruchamiać infrastrukturę do obsługi obciążeń sztucznej inteligencji.</w:t>
      </w:r>
    </w:p>
    <w:p>
      <w:pPr>
        <w:pStyle w:val="Normal"/>
        <w:spacing w:lineRule="auto" w:line="276"/>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 xml:space="preserve">– </w:t>
      </w:r>
      <w:r>
        <w:rPr>
          <w:i/>
          <w:iCs/>
          <w:sz w:val="20"/>
          <w:szCs w:val="20"/>
          <w:lang w:val="pl-PL"/>
        </w:rPr>
        <w:t>Wspólnie z Vertiv i NVIDIA przyspieszamy projektowanie i wdrażanie fabryk AI, traktując je jako jeden system. Moc obliczeniowa, sieć, zasilanie i chłodzenie są projektowane oraz symulowane łącznie z wykorzystaniem technologii digial twin</w:t>
      </w:r>
      <w:r>
        <w:rPr>
          <w:sz w:val="20"/>
          <w:szCs w:val="20"/>
          <w:lang w:val="pl-PL"/>
        </w:rPr>
        <w:t xml:space="preserve"> – powiedział Stéphane Sireau, wiceprezes ds. zaawansowanych technologii w Dassault Systèmes. – </w:t>
      </w:r>
      <w:r>
        <w:rPr>
          <w:i/>
          <w:iCs/>
          <w:sz w:val="20"/>
          <w:szCs w:val="20"/>
          <w:lang w:val="pl-PL"/>
        </w:rPr>
        <w:t>Takie podejście umożliwia rozwiązywanie problemów integracyjnych jeszcze przed rozpoczęciem prac, zamiast usuwać je na placu budowy. Dzięki temu infrastruktura może wcześniej rozpocząć generowanie tokenów.</w:t>
      </w:r>
    </w:p>
    <w:p>
      <w:pPr>
        <w:pStyle w:val="Normal"/>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 xml:space="preserve">– </w:t>
      </w:r>
      <w:r>
        <w:rPr>
          <w:i/>
          <w:iCs/>
          <w:sz w:val="20"/>
          <w:szCs w:val="20"/>
          <w:lang w:val="pl-PL"/>
        </w:rPr>
        <w:t>Klienci oceniają nas przede wszystkim na podstawie tego, jak szybko udostępniamy im gotową infrastrukturę</w:t>
      </w:r>
      <w:r>
        <w:rPr>
          <w:sz w:val="20"/>
          <w:szCs w:val="20"/>
          <w:lang w:val="pl-PL"/>
        </w:rPr>
        <w:t xml:space="preserve"> – powiedział Andy Hayes, dyrektor generalny Polar Data Centers. – </w:t>
      </w:r>
      <w:r>
        <w:rPr>
          <w:i/>
          <w:iCs/>
          <w:sz w:val="20"/>
          <w:szCs w:val="20"/>
          <w:lang w:val="pl-PL"/>
        </w:rPr>
        <w:t>W Herøya prefabrykowane rozwiązania Vertiv pomagają nam opanować złożoność wdrażania systemów zasilania, chłodzenia i infrastruktury przestrzeni IT dla obliczeń o wysokiej gęstości. Dzięki temu możemy realizować inwestycje według bardziej uporządkowanego i powtarzalnego modelu, zachowując jednocześnie elastyczność niezbędną do spełnienia wymagań klientów.</w:t>
      </w:r>
    </w:p>
    <w:p>
      <w:pPr>
        <w:pStyle w:val="Normal"/>
        <w:spacing w:lineRule="auto" w:line="276"/>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Vertiv i NVIDIA zaprezentowały wybrane elementy rozwiązania podczas konferencji NVIDIA GTC w Berlinie. Pokaz obejmował m.in. wpływ wymagań dotyczących obiektu na konfigurację infrastruktury, wirtualną walidację systemów zasilania i chłodzenia oraz wykorzystanie prefabrykowanych rozwiązań Vertiv do przyspieszenia wdrożenia. Prezentacja uwzględniła również technologie Dassault Systèmes, a przedstawiciele Polar Data Centers zaprezentowali, jak opisane podejście jest stosowane w rzeczywistym projekcie fabryki AI.</w:t>
      </w:r>
    </w:p>
    <w:p>
      <w:pPr>
        <w:pStyle w:val="Normal"/>
        <w:spacing w:lineRule="auto" w:line="276"/>
        <w:jc w:val="both"/>
        <w:rPr>
          <w:sz w:val="20"/>
          <w:szCs w:val="20"/>
          <w:lang w:val="pl-PL"/>
        </w:rPr>
      </w:pPr>
      <w:r>
        <w:rPr>
          <w:sz w:val="20"/>
          <w:szCs w:val="20"/>
          <w:lang w:val="pl-PL"/>
        </w:rPr>
      </w:r>
    </w:p>
    <w:p>
      <w:pPr>
        <w:pStyle w:val="Normal"/>
        <w:spacing w:lineRule="auto" w:line="276"/>
        <w:jc w:val="both"/>
        <w:rPr>
          <w:sz w:val="20"/>
          <w:szCs w:val="20"/>
          <w:lang w:val="pl-PL"/>
        </w:rPr>
      </w:pPr>
      <w:r>
        <w:rPr>
          <w:sz w:val="20"/>
          <w:szCs w:val="20"/>
          <w:lang w:val="pl-PL"/>
        </w:rPr>
        <w:t xml:space="preserve">Więcej informacji o ofercie Vertiv obejmującej systemy zasilania, chłodzenia, infrastrukturę IT i usługi dla krytycznych zastosowań cyfrowych, dostępnych jest na stronie </w:t>
      </w:r>
      <w:hyperlink r:id="rId4">
        <w:r>
          <w:rPr>
            <w:rStyle w:val="Hyperlink"/>
            <w:sz w:val="20"/>
            <w:szCs w:val="20"/>
            <w:lang w:val="pl-PL"/>
          </w:rPr>
          <w:t>www.Vertiv.com</w:t>
        </w:r>
      </w:hyperlink>
      <w:r>
        <w:rPr>
          <w:sz w:val="20"/>
          <w:szCs w:val="20"/>
          <w:lang w:val="pl-PL"/>
        </w:rPr>
        <w:t>.</w:t>
      </w:r>
    </w:p>
    <w:p>
      <w:pPr>
        <w:pStyle w:val="Normal"/>
        <w:spacing w:lineRule="auto" w:line="276"/>
        <w:rPr>
          <w:sz w:val="20"/>
          <w:szCs w:val="20"/>
          <w:lang w:val="pl-PL"/>
        </w:rPr>
      </w:pPr>
      <w:r>
        <w:rPr>
          <w:sz w:val="20"/>
          <w:szCs w:val="20"/>
          <w:lang w:val="pl-PL"/>
        </w:rPr>
      </w:r>
    </w:p>
    <w:p>
      <w:pPr>
        <w:pStyle w:val="Normal"/>
        <w:spacing w:lineRule="auto" w:line="276"/>
        <w:rPr>
          <w:sz w:val="20"/>
          <w:szCs w:val="20"/>
          <w:lang w:val="pl-PL"/>
        </w:rPr>
      </w:pPr>
      <w:r>
        <w:rPr>
          <w:sz w:val="20"/>
          <w:szCs w:val="20"/>
          <w:lang w:val="pl-PL"/>
        </w:rPr>
      </w:r>
    </w:p>
    <w:p>
      <w:pPr>
        <w:pStyle w:val="Normal"/>
        <w:spacing w:lineRule="auto" w:line="276"/>
        <w:rPr>
          <w:sz w:val="16"/>
          <w:szCs w:val="16"/>
          <w:lang w:val="pl-PL"/>
        </w:rPr>
      </w:pPr>
      <w:r>
        <w:rPr>
          <w:sz w:val="16"/>
          <w:szCs w:val="16"/>
          <w:lang w:val="pl-PL"/>
        </w:rPr>
        <w:t>1. Dane modelowe. Pierwsze 12 miesięcy liczone od rozpoczęcia projektowania: 317 wobec 245 dni produktywnej pracy przy tej samej zainstalowanej mocy obliczeniowej. Uwzględniono odpowiednio 3+45 dni oraz 30+90 dni na projektowanie i wdrożenie infrastruktury. Rzeczywiste wyniki mogą się różnić.</w:t>
      </w:r>
    </w:p>
    <w:p>
      <w:pPr>
        <w:pStyle w:val="Normal"/>
        <w:spacing w:lineRule="auto" w:line="276"/>
        <w:rPr>
          <w:sz w:val="16"/>
          <w:szCs w:val="16"/>
          <w:lang w:val="pl-PL"/>
        </w:rPr>
      </w:pPr>
      <w:r>
        <w:rPr>
          <w:sz w:val="16"/>
          <w:szCs w:val="16"/>
          <w:lang w:val="pl-PL"/>
        </w:rPr>
        <w:t>2. Dane modelowe. Czas potrzebny do przygotowania wstępnego zintegrowanego projektu, skonfigurowanego i zweryfikowanego w cyfrowym bliźniaku: 3 dni wobec 30 dni w tradycyjnym procesie projektowania. Wyniki zależą od specyfiki projektu.</w:t>
      </w:r>
    </w:p>
    <w:p>
      <w:pPr>
        <w:pStyle w:val="Normal"/>
        <w:spacing w:lineRule="auto" w:line="276"/>
        <w:rPr>
          <w:sz w:val="16"/>
          <w:szCs w:val="16"/>
          <w:lang w:val="pl-PL"/>
        </w:rPr>
      </w:pPr>
      <w:r>
        <w:rPr>
          <w:sz w:val="16"/>
          <w:szCs w:val="16"/>
          <w:lang w:val="pl-PL"/>
        </w:rPr>
        <w:t>3. Dane modelowe. Wdrożenie systemów zasilania i chłodzenia w siedzibie klienta z wykorzystaniem infrastruktury prefabrykowanej Vertiv: 45 dni wobec 90 dni w tradycyjnym modelu realizacji. Wyniki zależą od specyfiki projektu.</w:t>
      </w:r>
    </w:p>
    <w:p>
      <w:pPr>
        <w:pStyle w:val="Normal"/>
        <w:spacing w:lineRule="auto" w:line="276"/>
        <w:rPr>
          <w:sz w:val="20"/>
          <w:szCs w:val="20"/>
          <w:lang w:val="pl-PL"/>
        </w:rPr>
      </w:pPr>
      <w:r>
        <w:rPr>
          <w:sz w:val="20"/>
          <w:szCs w:val="20"/>
          <w:lang w:val="pl-PL"/>
        </w:rPr>
      </w:r>
    </w:p>
    <w:p>
      <w:pPr>
        <w:pStyle w:val="Normal"/>
        <w:spacing w:lineRule="auto" w:line="276"/>
        <w:rPr>
          <w:i/>
          <w:iCs/>
          <w:sz w:val="20"/>
          <w:szCs w:val="20"/>
          <w:lang w:val="pl-PL"/>
        </w:rPr>
      </w:pPr>
      <w:r>
        <w:rPr>
          <w:i/>
          <w:iCs/>
          <w:sz w:val="20"/>
          <w:szCs w:val="20"/>
          <w:lang w:val="pl-PL"/>
        </w:rPr>
      </w:r>
    </w:p>
    <w:p>
      <w:pPr>
        <w:pStyle w:val="Normal"/>
        <w:spacing w:lineRule="auto" w:line="276"/>
        <w:jc w:val="center"/>
        <w:rPr>
          <w:i/>
          <w:iCs/>
          <w:sz w:val="20"/>
          <w:szCs w:val="20"/>
          <w:lang w:val="pl-PL"/>
        </w:rPr>
      </w:pPr>
      <w:r>
        <w:rPr>
          <w:i/>
          <w:iCs/>
          <w:sz w:val="20"/>
          <w:szCs w:val="20"/>
          <w:lang w:val="pl-PL"/>
        </w:rPr>
        <w:t># # #</w:t>
      </w:r>
    </w:p>
    <w:p>
      <w:pPr>
        <w:pStyle w:val="Normal"/>
        <w:spacing w:lineRule="auto" w:line="276"/>
        <w:rPr>
          <w:sz w:val="20"/>
          <w:szCs w:val="20"/>
          <w:lang w:val="pl-PL"/>
        </w:rPr>
      </w:pPr>
      <w:r>
        <w:rPr>
          <w:sz w:val="20"/>
          <w:szCs w:val="20"/>
          <w:lang w:val="pl-PL"/>
        </w:rPr>
      </w:r>
    </w:p>
    <w:p>
      <w:pPr>
        <w:pStyle w:val="Normal"/>
        <w:rPr>
          <w:rFonts w:eastAsia="Calibri"/>
          <w:sz w:val="20"/>
          <w:szCs w:val="20"/>
          <w:lang w:val="pl-PL"/>
        </w:rPr>
      </w:pPr>
      <w:r>
        <w:rPr>
          <w:rFonts w:eastAsia="Calibri"/>
          <w:b/>
          <w:bCs/>
          <w:sz w:val="20"/>
          <w:szCs w:val="20"/>
          <w:lang w:val="pl-PL"/>
        </w:rPr>
        <w:t>O firmie Vertiv</w:t>
      </w:r>
      <w:r>
        <w:rPr>
          <w:rFonts w:eastAsia="Calibri"/>
          <w:sz w:val="20"/>
          <w:szCs w:val="20"/>
          <w:lang w:val="pl-PL"/>
        </w:rPr>
        <w:t> </w:t>
      </w:r>
    </w:p>
    <w:p>
      <w:pPr>
        <w:pStyle w:val="Normal"/>
        <w:jc w:val="both"/>
        <w:rPr>
          <w:rFonts w:eastAsia="Calibri"/>
          <w:sz w:val="20"/>
          <w:szCs w:val="20"/>
          <w:lang w:val="pl-PL"/>
        </w:rPr>
      </w:pPr>
      <w:r>
        <w:rPr>
          <w:rFonts w:eastAsia="Calibri"/>
          <w:sz w:val="20"/>
          <w:szCs w:val="20"/>
          <w:lang w:val="pl-PL"/>
        </w:rPr>
        <w:t>Vertiv (NYSE: VRT) oferuje rozwiązania z zakresu infrastruktury IT, oprogramowania, analityki, a także szereg usług, które zapewniają nieprzerwane i optymalne działanie kluczowych systemów swoich klientów oraz ich rozwój, wraz ze wzrostem biznesu. Vertiv rozwiązuje najważniejsze wyzwania stojące przed administratorami centrów danych, sieci komunikacyjnych oraz obiektów komercyjnych i przemysłowych, za pomocą oferowanych systemów z zakresu zasilania, chłodzenia, infrastruktury informatycznej oraz usług wspierających środowiska chmurowe i brzegowe. Siedziba główna firmy Vertiv znajduje się w Westerville (Ohio, USA). Firma prowadzi działalność w ponad 130 krajach. Dodatkowe informacje oraz nowości i materiały dotyczące Vertiv dostępne są stronie Vertiv.com. </w:t>
      </w:r>
    </w:p>
    <w:p>
      <w:pPr>
        <w:pStyle w:val="Normal"/>
        <w:spacing w:lineRule="auto" w:line="276"/>
        <w:rPr>
          <w:b/>
          <w:bCs/>
          <w:sz w:val="20"/>
          <w:szCs w:val="20"/>
          <w:lang w:val="pl-PL"/>
        </w:rPr>
      </w:pPr>
      <w:r>
        <w:rPr>
          <w:b/>
          <w:bCs/>
          <w:sz w:val="20"/>
          <w:szCs w:val="20"/>
          <w:lang w:val="pl-PL"/>
        </w:rPr>
      </w:r>
    </w:p>
    <w:p>
      <w:pPr>
        <w:pStyle w:val="Normal"/>
        <w:spacing w:lineRule="auto" w:line="276"/>
        <w:rPr>
          <w:b/>
          <w:bCs/>
          <w:sz w:val="20"/>
          <w:szCs w:val="20"/>
          <w:lang w:val="pl-PL"/>
        </w:rPr>
      </w:pPr>
      <w:r>
        <w:rPr>
          <w:b/>
          <w:bCs/>
          <w:sz w:val="20"/>
          <w:szCs w:val="20"/>
          <w:lang w:val="pl-PL"/>
        </w:rPr>
        <w:t>O firmie Polar Data Centers</w:t>
      </w:r>
    </w:p>
    <w:p>
      <w:pPr>
        <w:pStyle w:val="Normal"/>
        <w:spacing w:lineRule="auto" w:line="276"/>
        <w:rPr>
          <w:sz w:val="20"/>
          <w:szCs w:val="20"/>
          <w:lang w:val="pl-PL"/>
        </w:rPr>
      </w:pPr>
      <w:r>
        <w:rPr>
          <w:sz w:val="20"/>
          <w:szCs w:val="20"/>
          <w:lang w:val="pl-PL"/>
        </w:rPr>
        <w:t>Polar projektuje i prowadzi centra danych o wysokiej wydajności, zoptymalizowane pod kątem sztucznej inteligencji i obciążeń obliczeniowych o dużej gęstości. Firma rozwija europejską sieć infrastruktury przygotowanej do obsługi AI, łączącą odnawialne źródła energii, odporność infrastruktury, wydajne chłodzenie oraz skupiające się na potrzebach klientów podejście do projektowania i eksploatacji.</w:t>
      </w:r>
    </w:p>
    <w:p>
      <w:pPr>
        <w:pStyle w:val="Normal"/>
        <w:spacing w:lineRule="auto" w:line="276"/>
        <w:rPr>
          <w:sz w:val="20"/>
          <w:szCs w:val="20"/>
          <w:lang w:val="pl-PL"/>
        </w:rPr>
      </w:pPr>
      <w:r>
        <w:rPr>
          <w:sz w:val="20"/>
          <w:szCs w:val="20"/>
          <w:lang w:val="pl-PL"/>
        </w:rPr>
      </w:r>
    </w:p>
    <w:p>
      <w:pPr>
        <w:pStyle w:val="Normal"/>
        <w:spacing w:lineRule="auto" w:line="276"/>
        <w:rPr>
          <w:b/>
          <w:bCs/>
          <w:sz w:val="20"/>
          <w:szCs w:val="20"/>
          <w:lang w:val="pl-PL"/>
        </w:rPr>
      </w:pPr>
      <w:r>
        <w:rPr>
          <w:b/>
          <w:bCs/>
          <w:sz w:val="20"/>
          <w:szCs w:val="20"/>
          <w:lang w:val="pl-PL"/>
        </w:rPr>
        <w:t>O firmie Dassault Systèmes</w:t>
      </w:r>
    </w:p>
    <w:p>
      <w:pPr>
        <w:pStyle w:val="Normal"/>
        <w:spacing w:lineRule="auto" w:line="276"/>
        <w:rPr>
          <w:sz w:val="20"/>
          <w:szCs w:val="20"/>
          <w:lang w:val="pl-PL"/>
        </w:rPr>
      </w:pPr>
      <w:r>
        <w:rPr>
          <w:sz w:val="20"/>
          <w:szCs w:val="20"/>
          <w:lang w:val="pl-PL"/>
        </w:rPr>
        <w:t xml:space="preserve">Dassault Systèmes wspiera rozwój społeczeństw poprzez tworzenie wirtualnych środowisk, które od 1981 r. pomagają doskonalić rzeczywiste produkty, procesy i usługi. Platforma 3DEXPERIENCE wykorzystuje bazujące na wiedzy naukowej i wspomagane przez sztuczną inteligencję cyfrowe bliźniaki. Umożliwia 390 tysiącom klientów różnej wielkości i ze wszystkich branż współpracę, projektowanie i tworzenie innowacji sprzyjających zrównoważonemu rozwojowi oraz przynoszących wymierne korzyści. Więcej informacji dostępnych jest na stronie </w:t>
      </w:r>
      <w:hyperlink r:id="rId5">
        <w:r>
          <w:rPr>
            <w:rStyle w:val="Hyperlink"/>
            <w:sz w:val="20"/>
            <w:szCs w:val="20"/>
            <w:lang w:val="pl-PL"/>
          </w:rPr>
          <w:t>www.3ds.com</w:t>
        </w:r>
      </w:hyperlink>
      <w:r>
        <w:rPr>
          <w:sz w:val="20"/>
          <w:szCs w:val="20"/>
          <w:lang w:val="pl-PL"/>
        </w:rPr>
        <w:t>.</w:t>
      </w:r>
    </w:p>
    <w:p>
      <w:pPr>
        <w:pStyle w:val="Normal"/>
        <w:spacing w:lineRule="auto" w:line="276"/>
        <w:rPr>
          <w:sz w:val="20"/>
          <w:szCs w:val="20"/>
          <w:lang w:val="pl-PL"/>
        </w:rPr>
      </w:pPr>
      <w:r>
        <w:rPr>
          <w:sz w:val="20"/>
          <w:szCs w:val="20"/>
          <w:lang w:val="pl-PL"/>
        </w:rPr>
      </w:r>
    </w:p>
    <w:p>
      <w:pPr>
        <w:pStyle w:val="Normal"/>
        <w:spacing w:lineRule="auto" w:line="259"/>
        <w:ind w:end="-108"/>
        <w:rPr>
          <w:sz w:val="20"/>
          <w:szCs w:val="20"/>
          <w:lang w:val="pl-PL"/>
        </w:rPr>
      </w:pPr>
      <w:r>
        <w:rPr>
          <w:b/>
          <w:bCs/>
          <w:sz w:val="20"/>
          <w:szCs w:val="20"/>
          <w:lang w:val="pl-PL"/>
        </w:rPr>
        <w:t>Oświadczenia dotyczące przyszłości</w:t>
      </w:r>
      <w:r>
        <w:rPr>
          <w:sz w:val="20"/>
          <w:szCs w:val="20"/>
          <w:lang w:val="pl-PL"/>
        </w:rPr>
        <w:t> </w:t>
      </w:r>
    </w:p>
    <w:p>
      <w:pPr>
        <w:pStyle w:val="Normal"/>
        <w:spacing w:lineRule="auto" w:line="259"/>
        <w:ind w:end="-108"/>
        <w:jc w:val="both"/>
        <w:rPr>
          <w:sz w:val="20"/>
          <w:szCs w:val="20"/>
          <w:lang w:val="pl-PL"/>
        </w:rPr>
      </w:pPr>
      <w:r>
        <w:rPr>
          <w:sz w:val="20"/>
          <w:szCs w:val="20"/>
          <w:lang w:val="pl-PL"/>
        </w:rPr>
        <w:t xml:space="preserve">Niniejsza informacja zawiera stwierdzenia dotyczące przyszłości w rozumieniu ustawy Private Securities Litigation Reform Act z 1995 r., sekcji 27 ustawy Securities Act oraz sekcji 21E ustawy Securities Exchange Act. Stwierdzenia te mają jedynie charakter przewidywań. Rzeczywiste wydarzenia lub wyniki mogą się znacznie różnić od tych przedstawionych w stwierdzeniach dotyczących przyszłości. Aby zapoznać się z tymi i innymi ważnymi czynnikami ryzyka dotyczącymi firmy Vertiv i jej działalności, należy zapoznać się z dokumentacją firmy Vertiv złożoną w Komisji Papierów Wartościowych i Giełd, w tym z jej najnowszym Raportem Rocznym na Formularzu 10-K i kolejnymi Raportami Kwartalnymi na Formularzu 10-Q. Firma Vertiv nie jest zobowiązana i wyraźnie zrzeka się wszelkich zobowiązań do aktualizacji lub zmiany oświadczeń dotyczących przyszłości, czy to w wyniku pojawienia się nowych informacji, przyszłych wydarzeń, czy też w inny sposób.  </w:t>
      </w:r>
    </w:p>
    <w:p>
      <w:pPr>
        <w:pStyle w:val="Normal"/>
        <w:spacing w:lineRule="auto" w:line="276"/>
        <w:rPr>
          <w:b/>
          <w:bCs/>
          <w:lang w:val="pl-PL"/>
        </w:rPr>
      </w:pPr>
      <w:r>
        <w:rPr>
          <w:b/>
          <w:bCs/>
          <w:lang w:val="pl-PL"/>
        </w:rPr>
      </w:r>
    </w:p>
    <w:sectPr>
      <w:headerReference w:type="even" r:id="rId6"/>
      <w:headerReference w:type="default" r:id="rId7"/>
      <w:headerReference w:type="first" r:id="rId8"/>
      <w:footerReference w:type="even" r:id="rId9"/>
      <w:footerReference w:type="default" r:id="rId10"/>
      <w:footerReference w:type="first" r:id="rId11"/>
      <w:type w:val="nextPage"/>
      <w:pgSz w:w="11906" w:h="16838"/>
      <w:pgMar w:left="1080" w:right="1080" w:gutter="0" w:header="936" w:top="1440" w:footer="158" w:bottom="1440"/>
      <w:pgNumType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Arial">
    <w:charset w:val="ee" w:characterSet="windows-1250"/>
    <w:family w:val="swiss"/>
    <w:pitch w:val="variable"/>
  </w:font>
  <w:font w:name="Unna">
    <w:charset w:val="ee" w:characterSet="windows-1250"/>
    <w:family w:val="swiss"/>
    <w:pitch w:val="variable"/>
  </w:font>
  <w:font w:name="Segoe UI">
    <w:charset w:val="ee" w:characterSet="windows-1250"/>
    <w:family w:val="swiss"/>
    <w:pitch w:val="variable"/>
  </w:font>
  <w:font w:name="UICTFontTextStyleBody">
    <w:charset w:val="ee" w:characterSet="windows-1250"/>
    <w:family w:val="roman"/>
    <w:pitch w:val="variable"/>
  </w:font>
  <w:font w:name="Liberation Sans">
    <w:altName w:val="Arial"/>
    <w:charset w:val="ee" w:characterSet="windows-1250"/>
    <w:family w:val="swiss"/>
    <w:pitch w:val="variable"/>
  </w:font>
  <w:font w:name="Arial Black">
    <w:charset w:val="ee" w:characterSet="windows-1250"/>
    <w:family w:val="swiss"/>
    <w:pitch w:val="variable"/>
  </w:font>
  <w:font w:name="Times New Roman">
    <w:charset w:val="ee" w:characterSet="windows-1250"/>
    <w:family w:val="roman"/>
    <w:pitch w:val="variable"/>
  </w:font>
  <w:font w:name=".AppleSystemUIFont">
    <w:charset w:val="ee" w:characterSet="windows-125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end="360"/>
      <w:rPr/>
    </w:pPr>
    <w:r>
      <w:rPr/>
      <mc:AlternateContent>
        <mc:Choice Requires="wps">
          <w:drawing>
            <wp:anchor distT="0" distB="0" distL="0" distR="0" simplePos="0" relativeHeight="7" behindDoc="1" locked="0" layoutInCell="0" allowOverlap="1">
              <wp:simplePos x="0" y="0"/>
              <wp:positionH relativeFrom="margin">
                <wp:align>right</wp:align>
              </wp:positionH>
              <wp:positionV relativeFrom="paragraph">
                <wp:posOffset>635</wp:posOffset>
              </wp:positionV>
              <wp:extent cx="14605" cy="14605"/>
              <wp:effectExtent l="0" t="0" r="0" b="0"/>
              <wp:wrapNone/>
              <wp:docPr id="4" name="Ramka1"/>
              <a:graphic xmlns:a="http://schemas.openxmlformats.org/drawingml/2006/main">
                <a:graphicData uri="http://schemas.microsoft.com/office/word/2010/wordprocessingShape">
                  <wps:wsp>
                    <wps:cNvSpPr/>
                    <wps:spPr>
                      <a:xfrm>
                        <a:off x="0" y="0"/>
                        <a:ext cx="14760" cy="14760"/>
                      </a:xfrm>
                      <a:prstGeom prst="rect">
                        <a:avLst/>
                      </a:prstGeom>
                      <a:noFill/>
                      <a:ln w="0">
                        <a:noFill/>
                      </a:ln>
                    </wps:spPr>
                    <wps:style>
                      <a:lnRef idx="0"/>
                      <a:fillRef idx="0"/>
                      <a:effectRef idx="0"/>
                      <a:fontRef idx="minor"/>
                    </wps:style>
                    <wps:txbx>
                      <w:txbxContent>
                        <w:sdt>
                          <w:sdtPr>
                            <w:id w:val="335743427"/>
                            <w:docPartObj>
                              <w:docPartGallery w:val="Page Numbers (Bottom of Page)"/>
                              <w:docPartUnique w:val="true"/>
                            </w:docPartObj>
                          </w:sdtPr>
                          <w:sdt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wps:txbx>
                    <wps:bodyPr lIns="0" tIns="0" rIns="0" bIns="0" anchor="t">
                      <a:spAutoFit/>
                    </wps:bodyPr>
                  </wps:wsp>
                </a:graphicData>
              </a:graphic>
            </wp:anchor>
          </w:drawing>
        </mc:Choice>
        <mc:Fallback>
          <w:pict>
            <v:rect id="shape_0" fillcolor="white" stroked="f" o:allowincell="f" style="position:absolute;margin-left:0pt;margin-top:0.05pt;width:1.1pt;height:1.1pt;mso-wrap-style:square;v-text-anchor:top;mso-position-horizontal:right;mso-position-horizontal-relative:margin">
              <v:fill o:detectmouseclick="t" type="solid" color2="black" opacity="0"/>
              <v:stroke color="#3465a4" joinstyle="round" endcap="flat"/>
              <v:textbox>
                <w:txbxContent>
                  <w:sdt>
                    <w:sdtPr>
                      <w:id w:val="335743427"/>
                      <w:docPartObj>
                        <w:docPartGallery w:val="Page Numbers (Bottom of Page)"/>
                        <w:docPartUnique w:val="true"/>
                      </w:docPartObj>
                    </w:sdtPr>
                    <w:sdtContent>
                      <w:p>
                        <w:pPr>
                          <w:pStyle w:val="Foo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sdtContent>
                  </w:sdt>
                </w:txbxContent>
              </v:textbox>
              <w10:wrap type="non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666247730"/>
      <w:docPartObj>
        <w:docPartGallery w:val="Page Numbers (Bottom of Page)"/>
        <w:docPartUnique w:val="true"/>
      </w:docPartObj>
    </w:sdtPr>
    <w:sdtContent>
      <w:p>
        <w:pPr>
          <w:pStyle w:val="Footer"/>
          <w:jc w:val="end"/>
          <w:rPr/>
        </w:pPr>
        <w:r>
          <w:rPr/>
          <w:fldChar w:fldCharType="begin"/>
        </w:r>
        <w:r>
          <w:rPr/>
          <w:instrText xml:space="preserve"> PAGE </w:instrText>
        </w:r>
        <w:r>
          <w:rPr/>
          <w:fldChar w:fldCharType="separate"/>
        </w:r>
        <w:r>
          <w:rPr/>
          <w:t>4</w:t>
        </w:r>
        <w:r>
          <w:rPr/>
          <w:fldChar w:fldCharType="end"/>
        </w:r>
      </w:p>
    </w:sdtContent>
  </w:sdt>
  <w:p>
    <w:pPr>
      <w:pStyle w:val="Footer"/>
      <w:spacing w:lineRule="auto" w:line="360"/>
      <w:rPr>
        <w:sz w:val="13"/>
        <w:szCs w:val="13"/>
      </w:rPr>
    </w:pPr>
    <w:r>
      <w:rPr>
        <w:sz w:val="13"/>
        <w:szCs w:val="13"/>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sdt>
    <w:sdtPr>
      <w:id w:val="-2009897986"/>
      <w:docPartObj>
        <w:docPartGallery w:val="Page Numbers (Bottom of Page)"/>
        <w:docPartUnique w:val="true"/>
      </w:docPartObj>
    </w:sdtPr>
    <w:sdtContent>
      <w:p>
        <w:pPr>
          <w:pStyle w:val="Footer"/>
          <w:jc w:val="end"/>
          <w:rPr/>
        </w:pPr>
        <w:r>
          <w:rPr/>
          <w:fldChar w:fldCharType="begin"/>
        </w:r>
        <w:r>
          <w:rPr/>
          <w:instrText xml:space="preserve"> PAGE </w:instrText>
        </w:r>
        <w:r>
          <w:rPr/>
          <w:fldChar w:fldCharType="separate"/>
        </w:r>
        <w:r>
          <w:rPr/>
          <w:t>1</w:t>
        </w:r>
        <w:r>
          <w:rPr/>
          <w:fldChar w:fldCharType="end"/>
        </w:r>
      </w:p>
    </w:sdtContent>
  </w:sdt>
  <w:p>
    <w:pPr>
      <w:pStyle w:val="Footer"/>
      <w:spacing w:lineRule="auto" w:line="360"/>
      <w:jc w:val="end"/>
      <w:rPr>
        <w:sz w:val="13"/>
        <w:szCs w:val="13"/>
      </w:rPr>
    </w:pPr>
    <w:r>
      <w:rPr>
        <w:sz w:val="13"/>
        <w:szCs w:val="13"/>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LetterheadName"/>
      <w:spacing w:before="0" w:after="0"/>
      <w:ind w:end="115"/>
      <w:jc w:val="end"/>
      <w:rPr>
        <w:rFonts w:ascii="Arial" w:hAnsi="Arial" w:cs="Arial" w:asciiTheme="minorHAnsi" w:cstheme="minorHAnsi" w:hAnsiTheme="minorHAnsi"/>
        <w:color w:themeColor="text1" w:val="000000"/>
      </w:rPr>
    </w:pPr>
    <w:r>
      <w:rPr>
        <w:rFonts w:cs="Arial" w:cstheme="minorHAnsi" w:ascii="Arial" w:hAnsi="Arial"/>
        <w:color w:themeColor="text1" w:val="000000"/>
      </w:rPr>
      <mc:AlternateContent>
        <mc:Choice Requires="wps">
          <w:drawing>
            <wp:anchor distT="635" distB="0" distL="0" distR="635" simplePos="0" relativeHeight="4" behindDoc="1" locked="0" layoutInCell="0" allowOverlap="1" wp14:anchorId="69EC7218">
              <wp:simplePos x="0" y="0"/>
              <wp:positionH relativeFrom="margin">
                <wp:posOffset>-24765</wp:posOffset>
              </wp:positionH>
              <wp:positionV relativeFrom="page">
                <wp:posOffset>523240</wp:posOffset>
              </wp:positionV>
              <wp:extent cx="1329690" cy="330835"/>
              <wp:effectExtent l="0" t="635" r="635" b="0"/>
              <wp:wrapNone/>
              <wp:docPr id="1" name="Freeform 6"/>
              <a:graphic xmlns:a="http://schemas.openxmlformats.org/drawingml/2006/main">
                <a:graphicData uri="http://schemas.microsoft.com/office/word/2010/wordprocessingShape">
                  <wps:wsp>
                    <wps:cNvSpPr/>
                    <wps:spPr>
                      <a:xfrm>
                        <a:off x="0" y="0"/>
                        <a:ext cx="1329840" cy="330840"/>
                      </a:xfrm>
                      <a:custGeom>
                        <a:avLst/>
                        <a:gdLst>
                          <a:gd name="textAreaLeft" fmla="*/ 0 w 753840"/>
                          <a:gd name="textAreaRight" fmla="*/ 754560 w 753840"/>
                          <a:gd name="textAreaTop" fmla="*/ 0 h 187560"/>
                          <a:gd name="textAreaBottom" fmla="*/ 188280 h 187560"/>
                        </a:gdLst>
                        <a:ahLst/>
                        <a:cxnLst/>
                        <a:rect l="textAreaLeft" t="textAreaTop" r="textAreaRight" b="textAreaBottom"/>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r>
  </w:p>
  <w:p>
    <w:pPr>
      <w:pStyle w:val="LetterheadName"/>
      <w:spacing w:before="0" w:after="0"/>
      <w:ind w:end="115"/>
      <w:jc w:val="end"/>
      <w:rPr>
        <w:rFonts w:ascii="Arial" w:hAnsi="Arial" w:cs="Arial" w:asciiTheme="minorHAnsi" w:cstheme="minorHAnsi" w:hAnsiTheme="minorHAnsi"/>
        <w:color w:themeColor="text1" w:val="000000"/>
      </w:rPr>
    </w:pPr>
    <w:r>
      <w:rPr>
        <w:rFonts w:cs="Arial" w:cstheme="minorHAnsi" w:ascii="Arial" w:hAnsi="Arial"/>
        <w:color w:themeColor="text1" w:val="000000"/>
      </w:rPr>
    </w:r>
  </w:p>
  <w:p>
    <w:pPr>
      <w:pStyle w:val="LetterheadName"/>
      <w:spacing w:before="0" w:after="0"/>
      <w:ind w:end="115"/>
      <w:jc w:val="end"/>
      <w:rPr>
        <w:rFonts w:ascii="Arial" w:hAnsi="Arial" w:cs="Arial" w:asciiTheme="minorHAnsi" w:cstheme="minorHAnsi" w:hAnsiTheme="minorHAnsi"/>
        <w:color w:themeColor="text1" w:val="000000"/>
      </w:rPr>
    </w:pPr>
    <w:r>
      <w:rPr>
        <w:rFonts w:cs="Arial" w:cstheme="minorHAnsi" w:ascii="Arial" w:hAnsi="Arial"/>
        <w:color w:themeColor="text1" w:val="000000"/>
      </w:rPr>
    </w:r>
  </w:p>
  <w:p>
    <w:pPr>
      <w:pStyle w:val="LetterheadContact"/>
      <w:jc w:val="start"/>
      <w:rPr>
        <w:color w:val="auto"/>
      </w:rPr>
    </w:pPr>
    <w:r>
      <w:rPr>
        <w:color w:val="auto"/>
      </w:rPr>
    </w:r>
  </w:p>
  <w:p>
    <w:pPr>
      <w:pStyle w:val="LetterheadContact"/>
      <w:jc w:val="start"/>
      <w:rPr>
        <w:color w:val="auto"/>
      </w:rPr>
    </w:pPr>
    <w:r>
      <w:rPr>
        <w:color w:val="auto"/>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lineRule="auto" w:line="480"/>
      <w:rPr/>
    </w:pPr>
    <w:r>
      <w:rPr/>
      <mc:AlternateContent>
        <mc:Choice Requires="wps">
          <w:drawing>
            <wp:anchor distT="635" distB="0" distL="0" distR="635" simplePos="0" relativeHeight="5" behindDoc="1" locked="0" layoutInCell="0" allowOverlap="1" wp14:anchorId="6BBC3C9C">
              <wp:simplePos x="0" y="0"/>
              <wp:positionH relativeFrom="margin">
                <wp:posOffset>9525</wp:posOffset>
              </wp:positionH>
              <wp:positionV relativeFrom="page">
                <wp:posOffset>343535</wp:posOffset>
              </wp:positionV>
              <wp:extent cx="1329690" cy="330835"/>
              <wp:effectExtent l="0" t="635" r="635" b="0"/>
              <wp:wrapNone/>
              <wp:docPr id="2" name="Freeform 6"/>
              <a:graphic xmlns:a="http://schemas.openxmlformats.org/drawingml/2006/main">
                <a:graphicData uri="http://schemas.microsoft.com/office/word/2010/wordprocessingShape">
                  <wps:wsp>
                    <wps:cNvSpPr/>
                    <wps:spPr>
                      <a:xfrm>
                        <a:off x="0" y="0"/>
                        <a:ext cx="1329840" cy="330840"/>
                      </a:xfrm>
                      <a:custGeom>
                        <a:avLst/>
                        <a:gdLst>
                          <a:gd name="textAreaLeft" fmla="*/ 0 w 753840"/>
                          <a:gd name="textAreaRight" fmla="*/ 754560 w 753840"/>
                          <a:gd name="textAreaTop" fmla="*/ 0 h 187560"/>
                          <a:gd name="textAreaBottom" fmla="*/ 188280 h 187560"/>
                        </a:gdLst>
                        <a:ahLst/>
                        <a:cxnLst/>
                        <a:rect l="textAreaLeft" t="textAreaTop" r="textAreaRight" b="textAreaBottom"/>
                        <a:pathLst>
                          <a:path w="2094" h="521">
                            <a:moveTo>
                              <a:pt x="2064" y="360"/>
                            </a:moveTo>
                            <a:lnTo>
                              <a:pt x="2057" y="360"/>
                            </a:lnTo>
                            <a:lnTo>
                              <a:pt x="2057" y="398"/>
                            </a:lnTo>
                            <a:lnTo>
                              <a:pt x="2063" y="398"/>
                            </a:lnTo>
                            <a:lnTo>
                              <a:pt x="2063" y="371"/>
                            </a:lnTo>
                            <a:lnTo>
                              <a:pt x="2069" y="371"/>
                            </a:lnTo>
                            <a:lnTo>
                              <a:pt x="2064" y="360"/>
                            </a:lnTo>
                            <a:close/>
                            <a:moveTo>
                              <a:pt x="2069" y="371"/>
                            </a:moveTo>
                            <a:lnTo>
                              <a:pt x="2063" y="371"/>
                            </a:lnTo>
                            <a:lnTo>
                              <a:pt x="2074" y="398"/>
                            </a:lnTo>
                            <a:lnTo>
                              <a:pt x="2078" y="398"/>
                            </a:lnTo>
                            <a:lnTo>
                              <a:pt x="2081" y="389"/>
                            </a:lnTo>
                            <a:lnTo>
                              <a:pt x="2076" y="389"/>
                            </a:lnTo>
                            <a:lnTo>
                              <a:pt x="2069" y="371"/>
                            </a:lnTo>
                            <a:close/>
                            <a:moveTo>
                              <a:pt x="2094" y="371"/>
                            </a:moveTo>
                            <a:lnTo>
                              <a:pt x="2088" y="371"/>
                            </a:lnTo>
                            <a:lnTo>
                              <a:pt x="2088" y="398"/>
                            </a:lnTo>
                            <a:lnTo>
                              <a:pt x="2094" y="398"/>
                            </a:lnTo>
                            <a:lnTo>
                              <a:pt x="2094" y="371"/>
                            </a:lnTo>
                            <a:close/>
                            <a:moveTo>
                              <a:pt x="2094" y="360"/>
                            </a:moveTo>
                            <a:lnTo>
                              <a:pt x="2087" y="360"/>
                            </a:lnTo>
                            <a:lnTo>
                              <a:pt x="2076" y="389"/>
                            </a:lnTo>
                            <a:lnTo>
                              <a:pt x="2081" y="389"/>
                            </a:lnTo>
                            <a:lnTo>
                              <a:pt x="2088" y="371"/>
                            </a:lnTo>
                            <a:lnTo>
                              <a:pt x="2094" y="371"/>
                            </a:lnTo>
                            <a:lnTo>
                              <a:pt x="2094" y="360"/>
                            </a:lnTo>
                            <a:close/>
                            <a:moveTo>
                              <a:pt x="1874" y="151"/>
                            </a:moveTo>
                            <a:lnTo>
                              <a:pt x="1810" y="151"/>
                            </a:lnTo>
                            <a:lnTo>
                              <a:pt x="1903" y="398"/>
                            </a:lnTo>
                            <a:lnTo>
                              <a:pt x="1961" y="398"/>
                            </a:lnTo>
                            <a:lnTo>
                              <a:pt x="1991" y="317"/>
                            </a:lnTo>
                            <a:lnTo>
                              <a:pt x="1933" y="317"/>
                            </a:lnTo>
                            <a:lnTo>
                              <a:pt x="1874" y="151"/>
                            </a:lnTo>
                            <a:close/>
                            <a:moveTo>
                              <a:pt x="2041" y="366"/>
                            </a:moveTo>
                            <a:lnTo>
                              <a:pt x="2035" y="366"/>
                            </a:lnTo>
                            <a:lnTo>
                              <a:pt x="2035" y="398"/>
                            </a:lnTo>
                            <a:lnTo>
                              <a:pt x="2041" y="398"/>
                            </a:lnTo>
                            <a:lnTo>
                              <a:pt x="2041" y="366"/>
                            </a:lnTo>
                            <a:close/>
                            <a:moveTo>
                              <a:pt x="2054" y="360"/>
                            </a:moveTo>
                            <a:lnTo>
                              <a:pt x="2022" y="360"/>
                            </a:lnTo>
                            <a:lnTo>
                              <a:pt x="2022" y="366"/>
                            </a:lnTo>
                            <a:lnTo>
                              <a:pt x="2054" y="366"/>
                            </a:lnTo>
                            <a:lnTo>
                              <a:pt x="2054" y="360"/>
                            </a:lnTo>
                            <a:close/>
                            <a:moveTo>
                              <a:pt x="2054" y="151"/>
                            </a:moveTo>
                            <a:lnTo>
                              <a:pt x="1992" y="151"/>
                            </a:lnTo>
                            <a:lnTo>
                              <a:pt x="1933" y="317"/>
                            </a:lnTo>
                            <a:lnTo>
                              <a:pt x="1991" y="317"/>
                            </a:lnTo>
                            <a:lnTo>
                              <a:pt x="2054" y="151"/>
                            </a:lnTo>
                            <a:close/>
                            <a:moveTo>
                              <a:pt x="1770" y="151"/>
                            </a:moveTo>
                            <a:lnTo>
                              <a:pt x="1713" y="151"/>
                            </a:lnTo>
                            <a:lnTo>
                              <a:pt x="1713" y="398"/>
                            </a:lnTo>
                            <a:lnTo>
                              <a:pt x="1770" y="398"/>
                            </a:lnTo>
                            <a:lnTo>
                              <a:pt x="1770" y="151"/>
                            </a:lnTo>
                            <a:close/>
                            <a:moveTo>
                              <a:pt x="1590" y="204"/>
                            </a:moveTo>
                            <a:lnTo>
                              <a:pt x="1533" y="204"/>
                            </a:lnTo>
                            <a:lnTo>
                              <a:pt x="1533" y="398"/>
                            </a:lnTo>
                            <a:lnTo>
                              <a:pt x="1590" y="398"/>
                            </a:lnTo>
                            <a:lnTo>
                              <a:pt x="1590" y="204"/>
                            </a:lnTo>
                            <a:close/>
                            <a:moveTo>
                              <a:pt x="1666" y="151"/>
                            </a:moveTo>
                            <a:lnTo>
                              <a:pt x="1458" y="151"/>
                            </a:lnTo>
                            <a:lnTo>
                              <a:pt x="1458" y="204"/>
                            </a:lnTo>
                            <a:lnTo>
                              <a:pt x="1666" y="204"/>
                            </a:lnTo>
                            <a:lnTo>
                              <a:pt x="1666" y="151"/>
                            </a:lnTo>
                            <a:close/>
                            <a:moveTo>
                              <a:pt x="1342" y="151"/>
                            </a:moveTo>
                            <a:lnTo>
                              <a:pt x="1228" y="151"/>
                            </a:lnTo>
                            <a:lnTo>
                              <a:pt x="1228" y="398"/>
                            </a:lnTo>
                            <a:lnTo>
                              <a:pt x="1285" y="398"/>
                            </a:lnTo>
                            <a:lnTo>
                              <a:pt x="1285" y="319"/>
                            </a:lnTo>
                            <a:lnTo>
                              <a:pt x="1376" y="319"/>
                            </a:lnTo>
                            <a:lnTo>
                              <a:pt x="1371" y="312"/>
                            </a:lnTo>
                            <a:lnTo>
                              <a:pt x="1392" y="300"/>
                            </a:lnTo>
                            <a:lnTo>
                              <a:pt x="1409" y="282"/>
                            </a:lnTo>
                            <a:lnTo>
                              <a:pt x="1416" y="269"/>
                            </a:lnTo>
                            <a:lnTo>
                              <a:pt x="1285" y="269"/>
                            </a:lnTo>
                            <a:lnTo>
                              <a:pt x="1285" y="204"/>
                            </a:lnTo>
                            <a:lnTo>
                              <a:pt x="1419" y="204"/>
                            </a:lnTo>
                            <a:lnTo>
                              <a:pt x="1418" y="202"/>
                            </a:lnTo>
                            <a:lnTo>
                              <a:pt x="1400" y="176"/>
                            </a:lnTo>
                            <a:lnTo>
                              <a:pt x="1374" y="158"/>
                            </a:lnTo>
                            <a:lnTo>
                              <a:pt x="1342" y="151"/>
                            </a:lnTo>
                            <a:close/>
                            <a:moveTo>
                              <a:pt x="1376" y="319"/>
                            </a:moveTo>
                            <a:lnTo>
                              <a:pt x="1311" y="319"/>
                            </a:lnTo>
                            <a:lnTo>
                              <a:pt x="1365" y="398"/>
                            </a:lnTo>
                            <a:lnTo>
                              <a:pt x="1432" y="398"/>
                            </a:lnTo>
                            <a:lnTo>
                              <a:pt x="1376" y="319"/>
                            </a:lnTo>
                            <a:close/>
                            <a:moveTo>
                              <a:pt x="1419" y="204"/>
                            </a:moveTo>
                            <a:lnTo>
                              <a:pt x="1333" y="204"/>
                            </a:lnTo>
                            <a:lnTo>
                              <a:pt x="1345" y="206"/>
                            </a:lnTo>
                            <a:lnTo>
                              <a:pt x="1356" y="213"/>
                            </a:lnTo>
                            <a:lnTo>
                              <a:pt x="1363" y="224"/>
                            </a:lnTo>
                            <a:lnTo>
                              <a:pt x="1365" y="237"/>
                            </a:lnTo>
                            <a:lnTo>
                              <a:pt x="1363" y="249"/>
                            </a:lnTo>
                            <a:lnTo>
                              <a:pt x="1356" y="260"/>
                            </a:lnTo>
                            <a:lnTo>
                              <a:pt x="1345" y="267"/>
                            </a:lnTo>
                            <a:lnTo>
                              <a:pt x="1333" y="269"/>
                            </a:lnTo>
                            <a:lnTo>
                              <a:pt x="1416" y="269"/>
                            </a:lnTo>
                            <a:lnTo>
                              <a:pt x="1421" y="260"/>
                            </a:lnTo>
                            <a:lnTo>
                              <a:pt x="1425" y="234"/>
                            </a:lnTo>
                            <a:lnTo>
                              <a:pt x="1419" y="204"/>
                            </a:lnTo>
                            <a:close/>
                            <a:moveTo>
                              <a:pt x="1169" y="151"/>
                            </a:moveTo>
                            <a:lnTo>
                              <a:pt x="986" y="151"/>
                            </a:lnTo>
                            <a:lnTo>
                              <a:pt x="986" y="398"/>
                            </a:lnTo>
                            <a:lnTo>
                              <a:pt x="1169" y="398"/>
                            </a:lnTo>
                            <a:lnTo>
                              <a:pt x="1169" y="346"/>
                            </a:lnTo>
                            <a:lnTo>
                              <a:pt x="1043" y="346"/>
                            </a:lnTo>
                            <a:lnTo>
                              <a:pt x="1043" y="298"/>
                            </a:lnTo>
                            <a:lnTo>
                              <a:pt x="1147" y="298"/>
                            </a:lnTo>
                            <a:lnTo>
                              <a:pt x="1147" y="248"/>
                            </a:lnTo>
                            <a:lnTo>
                              <a:pt x="1043" y="248"/>
                            </a:lnTo>
                            <a:lnTo>
                              <a:pt x="1043" y="204"/>
                            </a:lnTo>
                            <a:lnTo>
                              <a:pt x="1169" y="204"/>
                            </a:lnTo>
                            <a:lnTo>
                              <a:pt x="1169" y="151"/>
                            </a:lnTo>
                            <a:close/>
                            <a:moveTo>
                              <a:pt x="765" y="151"/>
                            </a:moveTo>
                            <a:lnTo>
                              <a:pt x="701" y="151"/>
                            </a:lnTo>
                            <a:lnTo>
                              <a:pt x="794" y="398"/>
                            </a:lnTo>
                            <a:lnTo>
                              <a:pt x="852" y="398"/>
                            </a:lnTo>
                            <a:lnTo>
                              <a:pt x="882" y="317"/>
                            </a:lnTo>
                            <a:lnTo>
                              <a:pt x="824" y="317"/>
                            </a:lnTo>
                            <a:lnTo>
                              <a:pt x="765" y="151"/>
                            </a:lnTo>
                            <a:close/>
                            <a:moveTo>
                              <a:pt x="945" y="151"/>
                            </a:moveTo>
                            <a:lnTo>
                              <a:pt x="883" y="151"/>
                            </a:lnTo>
                            <a:lnTo>
                              <a:pt x="824" y="317"/>
                            </a:lnTo>
                            <a:lnTo>
                              <a:pt x="882" y="317"/>
                            </a:lnTo>
                            <a:lnTo>
                              <a:pt x="945" y="151"/>
                            </a:lnTo>
                            <a:close/>
                            <a:moveTo>
                              <a:pt x="30" y="151"/>
                            </a:moveTo>
                            <a:lnTo>
                              <a:pt x="17" y="180"/>
                            </a:lnTo>
                            <a:lnTo>
                              <a:pt x="8" y="210"/>
                            </a:lnTo>
                            <a:lnTo>
                              <a:pt x="2" y="242"/>
                            </a:lnTo>
                            <a:lnTo>
                              <a:pt x="0" y="275"/>
                            </a:lnTo>
                            <a:lnTo>
                              <a:pt x="11" y="352"/>
                            </a:lnTo>
                            <a:lnTo>
                              <a:pt x="42" y="421"/>
                            </a:lnTo>
                            <a:lnTo>
                              <a:pt x="90" y="478"/>
                            </a:lnTo>
                            <a:lnTo>
                              <a:pt x="152" y="520"/>
                            </a:lnTo>
                            <a:lnTo>
                              <a:pt x="275" y="397"/>
                            </a:lnTo>
                            <a:lnTo>
                              <a:pt x="30" y="151"/>
                            </a:lnTo>
                            <a:close/>
                            <a:moveTo>
                              <a:pt x="521" y="151"/>
                            </a:moveTo>
                            <a:lnTo>
                              <a:pt x="275" y="397"/>
                            </a:lnTo>
                            <a:lnTo>
                              <a:pt x="399" y="520"/>
                            </a:lnTo>
                            <a:lnTo>
                              <a:pt x="460" y="478"/>
                            </a:lnTo>
                            <a:lnTo>
                              <a:pt x="508" y="421"/>
                            </a:lnTo>
                            <a:lnTo>
                              <a:pt x="539" y="352"/>
                            </a:lnTo>
                            <a:lnTo>
                              <a:pt x="550" y="275"/>
                            </a:lnTo>
                            <a:lnTo>
                              <a:pt x="548" y="242"/>
                            </a:lnTo>
                            <a:lnTo>
                              <a:pt x="542" y="210"/>
                            </a:lnTo>
                            <a:lnTo>
                              <a:pt x="533" y="180"/>
                            </a:lnTo>
                            <a:lnTo>
                              <a:pt x="521" y="151"/>
                            </a:lnTo>
                            <a:close/>
                            <a:moveTo>
                              <a:pt x="382" y="151"/>
                            </a:moveTo>
                            <a:lnTo>
                              <a:pt x="168" y="151"/>
                            </a:lnTo>
                            <a:lnTo>
                              <a:pt x="275" y="258"/>
                            </a:lnTo>
                            <a:lnTo>
                              <a:pt x="382" y="151"/>
                            </a:lnTo>
                            <a:close/>
                            <a:moveTo>
                              <a:pt x="275" y="0"/>
                            </a:moveTo>
                            <a:lnTo>
                              <a:pt x="198" y="11"/>
                            </a:lnTo>
                            <a:lnTo>
                              <a:pt x="129" y="42"/>
                            </a:lnTo>
                            <a:lnTo>
                              <a:pt x="72" y="90"/>
                            </a:lnTo>
                            <a:lnTo>
                              <a:pt x="30" y="151"/>
                            </a:lnTo>
                            <a:lnTo>
                              <a:pt x="521" y="151"/>
                            </a:lnTo>
                            <a:lnTo>
                              <a:pt x="478" y="90"/>
                            </a:lnTo>
                            <a:lnTo>
                              <a:pt x="421" y="42"/>
                            </a:lnTo>
                            <a:lnTo>
                              <a:pt x="352" y="11"/>
                            </a:lnTo>
                            <a:lnTo>
                              <a:pt x="275" y="0"/>
                            </a:lnTo>
                            <a:close/>
                          </a:path>
                        </a:pathLst>
                      </a:custGeom>
                      <a:solidFill>
                        <a:srgbClr val="000000"/>
                      </a:solidFill>
                      <a:ln w="0">
                        <a:noFill/>
                      </a:ln>
                    </wps:spPr>
                    <wps:style>
                      <a:lnRef idx="0"/>
                      <a:fillRef idx="0"/>
                      <a:effectRef idx="0"/>
                      <a:fontRef idx="minor"/>
                    </wps:style>
                    <wps:bodyPr/>
                  </wps:wsp>
                </a:graphicData>
              </a:graphic>
            </wp:anchor>
          </w:drawing>
        </mc:Choice>
        <mc:Fallback>
          <w:pict/>
        </mc:Fallback>
      </mc:AlternateContent>
      <w:drawing>
        <wp:anchor distT="0" distB="0" distL="0" distR="0" simplePos="0" relativeHeight="6" behindDoc="1" locked="0" layoutInCell="1" allowOverlap="1">
          <wp:simplePos x="0" y="0"/>
          <wp:positionH relativeFrom="column">
            <wp:posOffset>4389755</wp:posOffset>
          </wp:positionH>
          <wp:positionV relativeFrom="paragraph">
            <wp:posOffset>-247650</wp:posOffset>
          </wp:positionV>
          <wp:extent cx="2932430" cy="917575"/>
          <wp:effectExtent l="0" t="0" r="0" b="0"/>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2"/>
                  <pic:cNvPicPr>
                    <a:picLocks noChangeAspect="1" noChangeArrowheads="1"/>
                  </pic:cNvPicPr>
                </pic:nvPicPr>
                <pic:blipFill>
                  <a:blip r:embed="rId1"/>
                  <a:stretch>
                    <a:fillRect/>
                  </a:stretch>
                </pic:blipFill>
                <pic:spPr bwMode="auto">
                  <a:xfrm>
                    <a:off x="0" y="0"/>
                    <a:ext cx="2932430" cy="917575"/>
                  </a:xfrm>
                  <a:prstGeom prst="rect">
                    <a:avLst/>
                  </a:prstGeom>
                  <a:noFill/>
                </pic:spPr>
              </pic:pic>
            </a:graphicData>
          </a:graphic>
        </wp:anchor>
      </w:drawing>
    </w:r>
  </w:p>
  <w:p>
    <w:pPr>
      <w:pStyle w:val="Header"/>
      <w:rPr/>
    </w:pPr>
    <w:r>
      <w:rPr/>
    </w:r>
  </w:p>
  <w:p>
    <w:pPr>
      <w:pStyle w:val="Header"/>
      <w:rPr/>
    </w:pPr>
    <w:r>
      <w:rPr/>
    </w:r>
  </w:p>
</w:hdr>
</file>

<file path=word/settings.xml><?xml version="1.0" encoding="utf-8"?>
<w:settings xmlns:w="http://schemas.openxmlformats.org/wordprocessingml/2006/main">
  <w:zoom w:percent="100"/>
  <w:defaultTabStop w:val="720"/>
  <w:autoHyphenation w:val="true"/>
  <w:hyphenationZone w:val="0"/>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PWAFVersion" w:val="5.0"/>
  </w:docVars>
  <w:themeFontLang w:val="en-US" w:eastAsia="ja-JP" w:bidi="ar-SA"/>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false"/>
      <w:suppressAutoHyphens w:val="true"/>
      <w:bidi w:val="0"/>
      <w:spacing w:before="0" w:after="0"/>
      <w:jc w:val="start"/>
    </w:pPr>
    <w:rPr>
      <w:rFonts w:ascii="Arial" w:hAnsi="Arial" w:eastAsia="Arial" w:cs="Arial" w:asciiTheme="minorHAnsi" w:eastAsiaTheme="minorHAnsi" w:hAnsiTheme="minorHAnsi"/>
      <w:color w:val="auto"/>
      <w:kern w:val="0"/>
      <w:sz w:val="22"/>
      <w:szCs w:val="22"/>
      <w:lang w:val="en-US" w:eastAsia="en-US" w:bidi="ar-SA"/>
    </w:rPr>
  </w:style>
  <w:style w:type="paragraph" w:styleId="Heading1">
    <w:name w:val="heading 1"/>
    <w:basedOn w:val="Normal"/>
    <w:next w:val="Normal"/>
    <w:link w:val="Nagwek1Znak"/>
    <w:uiPriority w:val="9"/>
    <w:qFormat/>
    <w:rsid w:val="002e49f8"/>
    <w:pPr>
      <w:keepNext w:val="true"/>
      <w:keepLines/>
      <w:spacing w:before="240" w:after="0"/>
      <w:outlineLvl w:val="0"/>
    </w:pPr>
    <w:rPr>
      <w:rFonts w:ascii="Unna" w:hAnsi="Unna" w:eastAsia="" w:cs="" w:asciiTheme="majorHAnsi" w:cstheme="majorBidi" w:eastAsiaTheme="majorEastAsia" w:hAnsiTheme="majorHAnsi"/>
      <w:color w:themeColor="accent1" w:themeShade="bf" w:val="D13B01"/>
      <w:sz w:val="32"/>
      <w:szCs w:val="32"/>
    </w:rPr>
  </w:style>
  <w:style w:type="paragraph" w:styleId="Heading2">
    <w:name w:val="heading 2"/>
    <w:basedOn w:val="Normal"/>
    <w:next w:val="Normal"/>
    <w:link w:val="Nagwek2Znak"/>
    <w:uiPriority w:val="9"/>
    <w:semiHidden/>
    <w:unhideWhenUsed/>
    <w:qFormat/>
    <w:rsid w:val="00b04d46"/>
    <w:pPr>
      <w:keepNext w:val="true"/>
      <w:keepLines/>
      <w:spacing w:before="40" w:after="0"/>
      <w:outlineLvl w:val="1"/>
    </w:pPr>
    <w:rPr>
      <w:rFonts w:ascii="Unna" w:hAnsi="Unna" w:eastAsia="" w:cs="" w:asciiTheme="majorHAnsi" w:cstheme="majorBidi" w:eastAsiaTheme="majorEastAsia" w:hAnsiTheme="majorHAnsi"/>
      <w:color w:themeColor="accent1" w:themeShade="bf" w:val="D13B01"/>
      <w:sz w:val="26"/>
      <w:szCs w:val="26"/>
    </w:rPr>
  </w:style>
  <w:style w:type="paragraph" w:styleId="Heading3">
    <w:name w:val="heading 3"/>
    <w:basedOn w:val="Normal"/>
    <w:next w:val="Normal"/>
    <w:link w:val="Nagwek3Znak"/>
    <w:uiPriority w:val="9"/>
    <w:unhideWhenUsed/>
    <w:qFormat/>
    <w:rsid w:val="00670a7f"/>
    <w:pPr>
      <w:keepNext w:val="true"/>
      <w:keepLines/>
      <w:widowControl/>
      <w:spacing w:lineRule="auto" w:line="259" w:before="40" w:after="0"/>
      <w:outlineLvl w:val="2"/>
    </w:pPr>
    <w:rPr>
      <w:rFonts w:eastAsia="" w:cs="" w:cstheme="majorBidi" w:eastAsiaTheme="majorEastAsia"/>
      <w:b/>
      <w:sz w:val="24"/>
      <w:szCs w:val="24"/>
    </w:rPr>
  </w:style>
  <w:style w:type="character" w:styleId="DefaultParagraphFont" w:default="1">
    <w:name w:val="Default Paragraph Font"/>
    <w:uiPriority w:val="1"/>
    <w:semiHidden/>
    <w:unhideWhenUsed/>
    <w:qFormat/>
    <w:rPr/>
  </w:style>
  <w:style w:type="character" w:styleId="TekstdymkaZnak" w:customStyle="1">
    <w:name w:val="Tekst dymka Znak"/>
    <w:basedOn w:val="DefaultParagraphFont"/>
    <w:link w:val="BalloonText"/>
    <w:uiPriority w:val="99"/>
    <w:semiHidden/>
    <w:qFormat/>
    <w:rsid w:val="00d62e3a"/>
    <w:rPr>
      <w:rFonts w:ascii="Segoe UI" w:hAnsi="Segoe UI" w:eastAsia="Arial" w:cs="Segoe UI"/>
      <w:sz w:val="18"/>
      <w:szCs w:val="18"/>
    </w:rPr>
  </w:style>
  <w:style w:type="character" w:styleId="NagwekZnak" w:customStyle="1">
    <w:name w:val="Nagłówek Znak"/>
    <w:basedOn w:val="DefaultParagraphFont"/>
    <w:uiPriority w:val="99"/>
    <w:qFormat/>
    <w:rsid w:val="00b11bcb"/>
    <w:rPr>
      <w:rFonts w:ascii="Arial" w:hAnsi="Arial" w:eastAsia="Arial" w:cs="Arial"/>
    </w:rPr>
  </w:style>
  <w:style w:type="character" w:styleId="StopkaZnak" w:customStyle="1">
    <w:name w:val="Stopka Znak"/>
    <w:basedOn w:val="DefaultParagraphFont"/>
    <w:uiPriority w:val="99"/>
    <w:qFormat/>
    <w:rsid w:val="00b11bcb"/>
    <w:rPr>
      <w:rFonts w:ascii="Arial" w:hAnsi="Arial" w:eastAsia="Arial" w:cs="Arial"/>
    </w:rPr>
  </w:style>
  <w:style w:type="character" w:styleId="Hyperlink">
    <w:name w:val="Hyperlink"/>
    <w:basedOn w:val="DefaultParagraphFont"/>
    <w:uiPriority w:val="99"/>
    <w:unhideWhenUsed/>
    <w:rsid w:val="00e44848"/>
    <w:rPr>
      <w:color w:themeColor="hyperlink" w:val="0076A8"/>
      <w:u w:val="single"/>
    </w:rPr>
  </w:style>
  <w:style w:type="character" w:styleId="Mention">
    <w:name w:val="Mention"/>
    <w:basedOn w:val="DefaultParagraphFont"/>
    <w:uiPriority w:val="99"/>
    <w:unhideWhenUsed/>
    <w:qFormat/>
    <w:rsid w:val="00e44848"/>
    <w:rPr>
      <w:color w:val="2B579A"/>
      <w:shd w:fill="E6E6E6" w:val="clear"/>
    </w:rPr>
  </w:style>
  <w:style w:type="character" w:styleId="TekstpodstawowyZnak" w:customStyle="1">
    <w:name w:val="Tekst podstawowy Znak"/>
    <w:basedOn w:val="DefaultParagraphFont"/>
    <w:uiPriority w:val="1"/>
    <w:qFormat/>
    <w:rsid w:val="00177aba"/>
    <w:rPr>
      <w:rFonts w:ascii="Arial" w:hAnsi="Arial" w:eastAsia="Arial" w:cs="Arial"/>
      <w:sz w:val="13"/>
      <w:szCs w:val="13"/>
    </w:rPr>
  </w:style>
  <w:style w:type="character" w:styleId="Nagwek3Znak" w:customStyle="1">
    <w:name w:val="Nagłówek 3 Znak"/>
    <w:basedOn w:val="DefaultParagraphFont"/>
    <w:uiPriority w:val="9"/>
    <w:qFormat/>
    <w:rsid w:val="00670a7f"/>
    <w:rPr>
      <w:rFonts w:ascii="Arial" w:hAnsi="Arial" w:eastAsia="" w:cs="" w:cstheme="majorBidi" w:eastAsiaTheme="majorEastAsia"/>
      <w:b/>
      <w:sz w:val="24"/>
      <w:szCs w:val="24"/>
    </w:rPr>
  </w:style>
  <w:style w:type="character" w:styleId="PageNumber">
    <w:name w:val="page number"/>
    <w:basedOn w:val="DefaultParagraphFont"/>
    <w:uiPriority w:val="99"/>
    <w:semiHidden/>
    <w:unhideWhenUsed/>
    <w:rsid w:val="00983e65"/>
    <w:rPr/>
  </w:style>
  <w:style w:type="character" w:styleId="Nagwek1Znak" w:customStyle="1">
    <w:name w:val="Nagłówek 1 Znak"/>
    <w:basedOn w:val="DefaultParagraphFont"/>
    <w:uiPriority w:val="9"/>
    <w:qFormat/>
    <w:rsid w:val="002e49f8"/>
    <w:rPr>
      <w:rFonts w:ascii="Unna" w:hAnsi="Unna" w:eastAsia="" w:cs="" w:asciiTheme="majorHAnsi" w:cstheme="majorBidi" w:eastAsiaTheme="majorEastAsia" w:hAnsiTheme="majorHAnsi"/>
      <w:color w:themeColor="accent1" w:themeShade="bf" w:val="D13B01"/>
      <w:sz w:val="32"/>
      <w:szCs w:val="32"/>
    </w:rPr>
  </w:style>
  <w:style w:type="character" w:styleId="UnresolvedMention">
    <w:name w:val="Unresolved Mention"/>
    <w:basedOn w:val="DefaultParagraphFont"/>
    <w:uiPriority w:val="99"/>
    <w:semiHidden/>
    <w:unhideWhenUsed/>
    <w:qFormat/>
    <w:rsid w:val="0029217c"/>
    <w:rPr>
      <w:color w:val="605E5C"/>
      <w:shd w:fill="E1DFDD" w:val="clear"/>
    </w:rPr>
  </w:style>
  <w:style w:type="character" w:styleId="FollowedHyperlink">
    <w:name w:val="FollowedHyperlink"/>
    <w:basedOn w:val="DefaultParagraphFont"/>
    <w:uiPriority w:val="99"/>
    <w:semiHidden/>
    <w:unhideWhenUsed/>
    <w:rsid w:val="0007313b"/>
    <w:rPr>
      <w:color w:themeColor="followedHyperlink" w:val="0076A8"/>
      <w:u w:val="single"/>
    </w:rPr>
  </w:style>
  <w:style w:type="character" w:styleId="normaltextrun" w:customStyle="1">
    <w:name w:val="normaltextrun"/>
    <w:basedOn w:val="DefaultParagraphFont"/>
    <w:qFormat/>
    <w:rsid w:val="009f4b06"/>
    <w:rPr/>
  </w:style>
  <w:style w:type="character" w:styleId="CommentReference">
    <w:name w:val="annotation reference"/>
    <w:basedOn w:val="DefaultParagraphFont"/>
    <w:uiPriority w:val="99"/>
    <w:semiHidden/>
    <w:unhideWhenUsed/>
    <w:qFormat/>
    <w:rsid w:val="000935a1"/>
    <w:rPr>
      <w:sz w:val="16"/>
      <w:szCs w:val="16"/>
    </w:rPr>
  </w:style>
  <w:style w:type="character" w:styleId="TekstkomentarzaZnak" w:customStyle="1">
    <w:name w:val="Tekst komentarza Znak"/>
    <w:basedOn w:val="DefaultParagraphFont"/>
    <w:link w:val="CommentText"/>
    <w:uiPriority w:val="99"/>
    <w:qFormat/>
    <w:rsid w:val="000935a1"/>
    <w:rPr>
      <w:rFonts w:ascii="Arial" w:hAnsi="Arial" w:eastAsia="Arial" w:cs="Arial"/>
      <w:sz w:val="20"/>
      <w:szCs w:val="20"/>
    </w:rPr>
  </w:style>
  <w:style w:type="character" w:styleId="TematkomentarzaZnak" w:customStyle="1">
    <w:name w:val="Temat komentarza Znak"/>
    <w:basedOn w:val="TekstkomentarzaZnak"/>
    <w:link w:val="annotationsubject"/>
    <w:uiPriority w:val="99"/>
    <w:semiHidden/>
    <w:qFormat/>
    <w:rsid w:val="000935a1"/>
    <w:rPr>
      <w:rFonts w:ascii="Arial" w:hAnsi="Arial" w:eastAsia="Arial" w:cs="Arial"/>
      <w:b/>
      <w:bCs/>
      <w:sz w:val="20"/>
      <w:szCs w:val="20"/>
    </w:rPr>
  </w:style>
  <w:style w:type="character" w:styleId="Nagwek2Znak" w:customStyle="1">
    <w:name w:val="Nagłówek 2 Znak"/>
    <w:basedOn w:val="DefaultParagraphFont"/>
    <w:uiPriority w:val="9"/>
    <w:semiHidden/>
    <w:qFormat/>
    <w:rsid w:val="00b04d46"/>
    <w:rPr>
      <w:rFonts w:ascii="Unna" w:hAnsi="Unna" w:eastAsia="" w:cs="" w:asciiTheme="majorHAnsi" w:cstheme="majorBidi" w:eastAsiaTheme="majorEastAsia" w:hAnsiTheme="majorHAnsi"/>
      <w:color w:themeColor="accent1" w:themeShade="bf" w:val="D13B01"/>
      <w:sz w:val="26"/>
      <w:szCs w:val="26"/>
    </w:rPr>
  </w:style>
  <w:style w:type="character" w:styleId="s1" w:customStyle="1">
    <w:name w:val="s1"/>
    <w:basedOn w:val="DefaultParagraphFont"/>
    <w:qFormat/>
    <w:rsid w:val="00b21647"/>
    <w:rPr>
      <w:rFonts w:ascii="UICTFontTextStyleBody" w:hAnsi="UICTFontTextStyleBody"/>
      <w:b w:val="false"/>
      <w:bCs w:val="false"/>
      <w:i w:val="false"/>
      <w:iCs w:val="false"/>
      <w:sz w:val="26"/>
      <w:szCs w:val="26"/>
    </w:rPr>
  </w:style>
  <w:style w:type="paragraph" w:styleId="Nagwek">
    <w:name w:val="Nagłówek"/>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link w:val="TekstpodstawowyZnak"/>
    <w:uiPriority w:val="1"/>
    <w:pPr/>
    <w:rPr>
      <w:sz w:val="13"/>
      <w:szCs w:val="13"/>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ks">
    <w:name w:val="Indeks"/>
    <w:basedOn w:val="Normal"/>
    <w:qFormat/>
    <w:pPr>
      <w:suppressLineNumbers/>
    </w:pPr>
    <w:rPr>
      <w:rFonts w:cs="Lucida Sans"/>
    </w:rPr>
  </w:style>
  <w:style w:type="paragraph" w:styleId="Nagwekuser">
    <w:name w:val="Nagłówek (user)"/>
    <w:basedOn w:val="Normal"/>
    <w:next w:val="BodyText"/>
    <w:qFormat/>
    <w:pPr>
      <w:keepNext w:val="true"/>
      <w:spacing w:before="240" w:after="120"/>
    </w:pPr>
    <w:rPr>
      <w:rFonts w:ascii="Liberation Sans" w:hAnsi="Liberation Sans" w:eastAsia="Microsoft YaHei" w:cs="Lucida Sans"/>
      <w:sz w:val="28"/>
      <w:szCs w:val="28"/>
    </w:rPr>
  </w:style>
  <w:style w:type="paragraph" w:styleId="Indeksuser">
    <w:name w:val="Indeks (user)"/>
    <w:basedOn w:val="Normal"/>
    <w:qFormat/>
    <w:pPr>
      <w:suppressLineNumbers/>
    </w:pPr>
    <w:rPr>
      <w:rFonts w:cs="Lucida Sans"/>
    </w:rPr>
  </w:style>
  <w:style w:type="paragraph" w:styleId="ListParagraph">
    <w:name w:val="List Paragraph"/>
    <w:basedOn w:val="Normal"/>
    <w:uiPriority w:val="34"/>
    <w:qFormat/>
    <w:pPr/>
    <w:rPr/>
  </w:style>
  <w:style w:type="paragraph" w:styleId="TableParagraph" w:customStyle="1">
    <w:name w:val="Table Paragraph"/>
    <w:basedOn w:val="Normal"/>
    <w:uiPriority w:val="1"/>
    <w:qFormat/>
    <w:pPr/>
    <w:rPr/>
  </w:style>
  <w:style w:type="paragraph" w:styleId="BalloonText">
    <w:name w:val="Balloon Text"/>
    <w:basedOn w:val="Normal"/>
    <w:link w:val="TekstdymkaZnak"/>
    <w:uiPriority w:val="99"/>
    <w:semiHidden/>
    <w:unhideWhenUsed/>
    <w:qFormat/>
    <w:rsid w:val="00d62e3a"/>
    <w:pPr/>
    <w:rPr>
      <w:rFonts w:ascii="Segoe UI" w:hAnsi="Segoe UI" w:cs="Segoe UI"/>
      <w:sz w:val="18"/>
      <w:szCs w:val="18"/>
    </w:rPr>
  </w:style>
  <w:style w:type="paragraph" w:styleId="Gwkaistopkauser">
    <w:name w:val="Główka i stopka (user)"/>
    <w:basedOn w:val="Normal"/>
    <w:qFormat/>
    <w:pPr/>
    <w:rPr/>
  </w:style>
  <w:style w:type="paragraph" w:styleId="Gwkaistopka">
    <w:name w:val="Główka i stopka"/>
    <w:basedOn w:val="Normal"/>
    <w:qFormat/>
    <w:pPr/>
    <w:rPr/>
  </w:style>
  <w:style w:type="paragraph" w:styleId="Header">
    <w:name w:val="header"/>
    <w:basedOn w:val="Normal"/>
    <w:link w:val="NagwekZnak"/>
    <w:uiPriority w:val="99"/>
    <w:unhideWhenUsed/>
    <w:rsid w:val="00b11bcb"/>
    <w:pPr>
      <w:tabs>
        <w:tab w:val="clear" w:pos="720"/>
        <w:tab w:val="center" w:pos="4680" w:leader="none"/>
        <w:tab w:val="right" w:pos="9360" w:leader="none"/>
      </w:tabs>
    </w:pPr>
    <w:rPr/>
  </w:style>
  <w:style w:type="paragraph" w:styleId="Footer">
    <w:name w:val="footer"/>
    <w:basedOn w:val="Normal"/>
    <w:link w:val="StopkaZnak"/>
    <w:uiPriority w:val="99"/>
    <w:unhideWhenUsed/>
    <w:rsid w:val="00b11bcb"/>
    <w:pPr>
      <w:tabs>
        <w:tab w:val="clear" w:pos="720"/>
        <w:tab w:val="center" w:pos="4680" w:leader="none"/>
        <w:tab w:val="right" w:pos="9360" w:leader="none"/>
      </w:tabs>
    </w:pPr>
    <w:rPr/>
  </w:style>
  <w:style w:type="paragraph" w:styleId="LetterheadName" w:customStyle="1">
    <w:name w:val="Letterhead Name"/>
    <w:basedOn w:val="Normal"/>
    <w:uiPriority w:val="1"/>
    <w:qFormat/>
    <w:rsid w:val="00487e37"/>
    <w:pPr>
      <w:tabs>
        <w:tab w:val="clear" w:pos="720"/>
        <w:tab w:val="right" w:pos="10530" w:leader="none"/>
      </w:tabs>
      <w:spacing w:before="102" w:after="0"/>
      <w:ind w:end="110"/>
    </w:pPr>
    <w:rPr>
      <w:rFonts w:ascii="Arial Black" w:hAnsi="Arial Black"/>
      <w:b/>
      <w:caps/>
      <w:color w:val="4C4D4F"/>
      <w:sz w:val="17"/>
    </w:rPr>
  </w:style>
  <w:style w:type="paragraph" w:styleId="LetterheadDetails" w:customStyle="1">
    <w:name w:val="Letterhead Details"/>
    <w:basedOn w:val="Normal"/>
    <w:uiPriority w:val="1"/>
    <w:qFormat/>
    <w:rsid w:val="00487e37"/>
    <w:pPr>
      <w:spacing w:lineRule="auto" w:line="266" w:before="8" w:after="0"/>
      <w:ind w:end="109"/>
      <w:jc w:val="end"/>
    </w:pPr>
    <w:rPr>
      <w:color w:val="4C4D4F"/>
      <w:sz w:val="14"/>
    </w:rPr>
  </w:style>
  <w:style w:type="paragraph" w:styleId="LetterheadContact" w:customStyle="1">
    <w:name w:val="Letterhead Contact"/>
    <w:basedOn w:val="Normal"/>
    <w:uiPriority w:val="1"/>
    <w:qFormat/>
    <w:rsid w:val="00487e37"/>
    <w:pPr>
      <w:spacing w:lineRule="auto" w:line="266" w:before="8" w:after="0"/>
      <w:ind w:end="109"/>
      <w:jc w:val="end"/>
    </w:pPr>
    <w:rPr>
      <w:color w:val="4C4D4F"/>
      <w:sz w:val="13"/>
    </w:rPr>
  </w:style>
  <w:style w:type="paragraph" w:styleId="LetterheadAddress" w:customStyle="1">
    <w:name w:val="Letterhead Address"/>
    <w:basedOn w:val="BodyText"/>
    <w:uiPriority w:val="1"/>
    <w:qFormat/>
    <w:rsid w:val="00487e37"/>
    <w:pPr>
      <w:spacing w:before="83" w:after="0"/>
      <w:ind w:end="109"/>
      <w:jc w:val="end"/>
    </w:pPr>
    <w:rPr>
      <w:color w:val="4C4D4F"/>
    </w:rPr>
  </w:style>
  <w:style w:type="paragraph" w:styleId="LetterheadLegalEntity" w:customStyle="1">
    <w:name w:val="Letterhead Legal Entity"/>
    <w:basedOn w:val="Normal"/>
    <w:uiPriority w:val="1"/>
    <w:qFormat/>
    <w:rsid w:val="00157232"/>
    <w:pPr>
      <w:spacing w:before="69" w:after="0"/>
      <w:ind w:end="109"/>
      <w:jc w:val="end"/>
    </w:pPr>
    <w:rPr>
      <w:color w:val="4C4D4F"/>
      <w:sz w:val="10"/>
    </w:rPr>
  </w:style>
  <w:style w:type="paragraph" w:styleId="Price" w:customStyle="1">
    <w:name w:val="Price"/>
    <w:basedOn w:val="Normal"/>
    <w:qFormat/>
    <w:rsid w:val="00f52ffd"/>
    <w:pPr>
      <w:widowControl/>
      <w:spacing w:before="360" w:after="120"/>
    </w:pPr>
    <w:rPr>
      <w:rFonts w:eastAsia="Times New Roman"/>
      <w:b/>
      <w:bCs/>
      <w:sz w:val="24"/>
      <w:szCs w:val="24"/>
    </w:rPr>
  </w:style>
  <w:style w:type="paragraph" w:styleId="Option" w:customStyle="1">
    <w:name w:val="Option"/>
    <w:basedOn w:val="Normal"/>
    <w:qFormat/>
    <w:rsid w:val="00f52ffd"/>
    <w:pPr>
      <w:widowControl/>
      <w:tabs>
        <w:tab w:val="clear" w:pos="720"/>
        <w:tab w:val="left" w:pos="360" w:leader="none"/>
      </w:tabs>
      <w:ind w:hanging="360" w:start="360"/>
    </w:pPr>
    <w:rPr>
      <w:rFonts w:eastAsia="Times New Roman"/>
    </w:rPr>
  </w:style>
  <w:style w:type="paragraph" w:styleId="IndexHeading">
    <w:name w:val="index heading"/>
    <w:basedOn w:val="Nagwekuser"/>
    <w:pPr/>
    <w:rPr/>
  </w:style>
  <w:style w:type="paragraph" w:styleId="TOCHeading">
    <w:name w:val="TOC Heading"/>
    <w:basedOn w:val="Heading1"/>
    <w:next w:val="Normal"/>
    <w:uiPriority w:val="39"/>
    <w:unhideWhenUsed/>
    <w:qFormat/>
    <w:rsid w:val="002e49f8"/>
    <w:pPr>
      <w:widowControl/>
      <w:spacing w:lineRule="auto" w:line="259"/>
      <w:outlineLvl w:val="9"/>
    </w:pPr>
    <w:rPr/>
  </w:style>
  <w:style w:type="paragraph" w:styleId="TOC1">
    <w:name w:val="toc 1"/>
    <w:basedOn w:val="Normal"/>
    <w:next w:val="Normal"/>
    <w:autoRedefine/>
    <w:uiPriority w:val="39"/>
    <w:unhideWhenUsed/>
    <w:rsid w:val="002e49f8"/>
    <w:pPr>
      <w:widowControl/>
      <w:tabs>
        <w:tab w:val="clear" w:pos="720"/>
        <w:tab w:val="left" w:pos="440" w:leader="none"/>
        <w:tab w:val="right" w:pos="9019" w:leader="dot"/>
      </w:tabs>
      <w:spacing w:lineRule="auto" w:line="259" w:before="0" w:after="100"/>
    </w:pPr>
    <w:rPr>
      <w:rFonts w:eastAsia="" w:eastAsiaTheme="minorEastAsia"/>
      <w:b/>
    </w:rPr>
  </w:style>
  <w:style w:type="paragraph" w:styleId="TOC3">
    <w:name w:val="toc 3"/>
    <w:basedOn w:val="Normal"/>
    <w:next w:val="Normal"/>
    <w:autoRedefine/>
    <w:uiPriority w:val="39"/>
    <w:unhideWhenUsed/>
    <w:rsid w:val="003f5255"/>
    <w:pPr>
      <w:spacing w:before="0" w:after="100"/>
      <w:ind w:start="440"/>
    </w:pPr>
    <w:rPr/>
  </w:style>
  <w:style w:type="paragraph" w:styleId="TOC4">
    <w:name w:val="toc 4"/>
    <w:basedOn w:val="Normal"/>
    <w:next w:val="Normal"/>
    <w:autoRedefine/>
    <w:uiPriority w:val="39"/>
    <w:semiHidden/>
    <w:unhideWhenUsed/>
    <w:rsid w:val="003f5255"/>
    <w:pPr>
      <w:spacing w:before="0" w:after="100"/>
      <w:ind w:start="660"/>
    </w:pPr>
    <w:rPr/>
  </w:style>
  <w:style w:type="paragraph" w:styleId="RCALevel3" w:customStyle="1">
    <w:name w:val="RCA Level 3"/>
    <w:next w:val="Normal"/>
    <w:qFormat/>
    <w:rsid w:val="00633004"/>
    <w:pPr>
      <w:widowControl w:val="false"/>
      <w:suppressAutoHyphens w:val="true"/>
      <w:bidi w:val="0"/>
      <w:spacing w:lineRule="exact" w:line="240" w:before="120" w:after="60"/>
      <w:jc w:val="start"/>
      <w:outlineLvl w:val="2"/>
    </w:pPr>
    <w:rPr>
      <w:rFonts w:ascii="Arial" w:hAnsi="Arial" w:eastAsia="Arial" w:cs=""/>
      <w:b/>
      <w:bCs/>
      <w:color w:val="auto"/>
      <w:kern w:val="2"/>
      <w:sz w:val="24"/>
      <w:szCs w:val="24"/>
      <w:lang w:val="en-US" w:eastAsia="en-US" w:bidi="ar-SA"/>
      <w14:ligatures w14:val="standardContextual"/>
    </w:rPr>
  </w:style>
  <w:style w:type="paragraph" w:styleId="paragraph" w:customStyle="1">
    <w:name w:val="paragraph"/>
    <w:basedOn w:val="Normal"/>
    <w:qFormat/>
    <w:rsid w:val="009f4b06"/>
    <w:pPr>
      <w:widowControl/>
      <w:spacing w:beforeAutospacing="1" w:afterAutospacing="1"/>
    </w:pPr>
    <w:rPr>
      <w:rFonts w:ascii="Times New Roman" w:hAnsi="Times New Roman" w:eastAsia="Times New Roman" w:cs="Times New Roman"/>
      <w:sz w:val="24"/>
      <w:szCs w:val="24"/>
    </w:rPr>
  </w:style>
  <w:style w:type="paragraph" w:styleId="CommentText">
    <w:name w:val="annotation text"/>
    <w:basedOn w:val="Normal"/>
    <w:link w:val="TekstkomentarzaZnak"/>
    <w:uiPriority w:val="99"/>
    <w:unhideWhenUsed/>
    <w:rsid w:val="000935a1"/>
    <w:pPr/>
    <w:rPr>
      <w:sz w:val="20"/>
      <w:szCs w:val="20"/>
    </w:rPr>
  </w:style>
  <w:style w:type="paragraph" w:styleId="annotationsubject">
    <w:name w:val="annotation subject"/>
    <w:basedOn w:val="CommentText"/>
    <w:next w:val="CommentText"/>
    <w:link w:val="TematkomentarzaZnak"/>
    <w:uiPriority w:val="99"/>
    <w:semiHidden/>
    <w:unhideWhenUsed/>
    <w:qFormat/>
    <w:rsid w:val="000935a1"/>
    <w:pPr/>
    <w:rPr>
      <w:b/>
      <w:bCs/>
    </w:rPr>
  </w:style>
  <w:style w:type="paragraph" w:styleId="Revision">
    <w:name w:val="Revision"/>
    <w:uiPriority w:val="99"/>
    <w:semiHidden/>
    <w:qFormat/>
    <w:rsid w:val="00d12c0f"/>
    <w:pPr>
      <w:widowControl/>
      <w:suppressAutoHyphens w:val="true"/>
      <w:bidi w:val="0"/>
      <w:spacing w:before="0" w:after="0"/>
      <w:jc w:val="start"/>
    </w:pPr>
    <w:rPr>
      <w:rFonts w:ascii="Arial" w:hAnsi="Arial" w:eastAsia="Arial" w:cs="Arial" w:asciiTheme="minorHAnsi" w:eastAsiaTheme="minorHAnsi" w:hAnsiTheme="minorHAnsi"/>
      <w:color w:val="auto"/>
      <w:kern w:val="0"/>
      <w:sz w:val="22"/>
      <w:szCs w:val="22"/>
      <w:lang w:val="en-US" w:eastAsia="en-US" w:bidi="ar-SA"/>
    </w:rPr>
  </w:style>
  <w:style w:type="paragraph" w:styleId="p1" w:customStyle="1">
    <w:name w:val="p1"/>
    <w:basedOn w:val="Normal"/>
    <w:qFormat/>
    <w:rsid w:val="00b21647"/>
    <w:pPr>
      <w:widowControl/>
    </w:pPr>
    <w:rPr>
      <w:rFonts w:ascii=".AppleSystemUIFont" w:hAnsi=".AppleSystemUIFont" w:eastAsia="" w:cs="Times New Roman" w:eastAsiaTheme="minorEastAsia"/>
      <w:color w:val="000000"/>
      <w:sz w:val="26"/>
      <w:szCs w:val="26"/>
    </w:rPr>
  </w:style>
  <w:style w:type="paragraph" w:styleId="NormalWeb">
    <w:name w:val="Normal (Web)"/>
    <w:basedOn w:val="Normal"/>
    <w:uiPriority w:val="99"/>
    <w:semiHidden/>
    <w:unhideWhenUsed/>
    <w:qFormat/>
    <w:rsid w:val="00dc727b"/>
    <w:pPr/>
    <w:rPr>
      <w:rFonts w:ascii="Times New Roman" w:hAnsi="Times New Roman" w:cs="Times New Roman"/>
      <w:sz w:val="24"/>
      <w:szCs w:val="24"/>
    </w:rPr>
  </w:style>
  <w:style w:type="paragraph" w:styleId="Zawartoramkiuser">
    <w:name w:val="Zawartość ramki (user)"/>
    <w:basedOn w:val="Normal"/>
    <w:qFormat/>
    <w:pPr/>
    <w:rPr/>
  </w:style>
  <w:style w:type="paragraph" w:styleId="Zawartoramki">
    <w:name w:val="Zawartość ramki"/>
    <w:basedOn w:val="Normal"/>
    <w:qFormat/>
    <w:pPr/>
    <w:rPr/>
  </w:style>
  <w:style w:type="numbering" w:styleId="Bezlistyuser" w:default="1">
    <w:name w:val="Bez listy (user)"/>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styleId="Tabela-Siatka">
    <w:name w:val="Table Grid"/>
    <w:basedOn w:val="Standardowy"/>
    <w:uiPriority w:val="59"/>
    <w:rsid w:val="00177aba"/>
    <w:rPr>
      <w:rFonts w:eastAsiaTheme="minorEastAsia"/>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lig">
    <w:name w:val="lig"/>
    <w:basedOn w:val="Standardowy"/>
    <w:rsid w:val="009d43cf"/>
    <w:rPr>
      <w:sz w:val="20"/>
      <w:szCs w:val="20"/>
    </w:rPr>
  </w:style>
  <w:style w:type="table" w:styleId="Tabelasiatki4">
    <w:name w:val="Grid Table 4"/>
    <w:basedOn w:val="Standardowy"/>
    <w:uiPriority w:val="49"/>
    <w:rsid w:val="00ce7884"/>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Pr/>
    </w:tblStylePr>
    <w:tblStylePr w:type="lastCol">
      <w:rPr>
        <w:b/>
        <w:bCs/>
      </w:rPr>
      <w:tbl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nvidia.com/gtc/" TargetMode="External"/><Relationship Id="rId3" Type="http://schemas.openxmlformats.org/officeDocument/2006/relationships/hyperlink" Target="https://build.nvidia.com/nvidia/omniverse-dsx-blueprint-for-ai-factories" TargetMode="External"/><Relationship Id="rId4" Type="http://schemas.openxmlformats.org/officeDocument/2006/relationships/hyperlink" Target="https://www.vertiv.com/" TargetMode="External"/><Relationship Id="rId5" Type="http://schemas.openxmlformats.org/officeDocument/2006/relationships/hyperlink" Target="http://www.3ds.com/" TargetMode="Externa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header" Target="header3.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fontTable" Target="fontTable.xml"/><Relationship Id="rId13" Type="http://schemas.openxmlformats.org/officeDocument/2006/relationships/settings" Target="settings.xml"/><Relationship Id="rId14" Type="http://schemas.openxmlformats.org/officeDocument/2006/relationships/theme" Target="theme/theme1.xml"/><Relationship Id="rId15" Type="http://schemas.openxmlformats.org/officeDocument/2006/relationships/customXml" Target="../customXml/item1.xml"/><Relationship Id="rId16" Type="http://schemas.openxmlformats.org/officeDocument/2006/relationships/customXml" Target="../customXml/item2.xml"/><Relationship Id="rId17" Type="http://schemas.openxmlformats.org/officeDocument/2006/relationships/customXml" Target="../customXml/item3.xml"/><Relationship Id="rId18" Type="http://schemas.openxmlformats.org/officeDocument/2006/relationships/customXml" Target="../customXml/item4.xml"/>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Office Theme">
  <a:themeElements>
    <a:clrScheme name="Vertiv Volors">
      <a:dk1>
        <a:srgbClr val="000000"/>
      </a:dk1>
      <a:lt1>
        <a:srgbClr val="FFFFFF"/>
      </a:lt1>
      <a:dk2>
        <a:srgbClr val="FFFFFF"/>
      </a:dk2>
      <a:lt2>
        <a:srgbClr val="000000"/>
      </a:lt2>
      <a:accent1>
        <a:srgbClr val="FE5B1B"/>
      </a:accent1>
      <a:accent2>
        <a:srgbClr val="666666"/>
      </a:accent2>
      <a:accent3>
        <a:srgbClr val="FB9500"/>
      </a:accent3>
      <a:accent4>
        <a:srgbClr val="5E1EE7"/>
      </a:accent4>
      <a:accent5>
        <a:srgbClr val="98FF95"/>
      </a:accent5>
      <a:accent6>
        <a:srgbClr val="7FEDE7"/>
      </a:accent6>
      <a:hlink>
        <a:srgbClr val="0076A8"/>
      </a:hlink>
      <a:folHlink>
        <a:srgbClr val="0076A8"/>
      </a:folHlink>
    </a:clrScheme>
    <a:fontScheme name="Vertiv Fonts">
      <a:majorFont>
        <a:latin typeface="Unna" pitchFamily="0" charset="1"/>
        <a:ea typeface=""/>
        <a:cs typeface=""/>
      </a:majorFont>
      <a:minorFont>
        <a:latin typeface="Arial"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4020bbd-92e4-4c3c-9015-008970a4bfb0">
      <Terms xmlns="http://schemas.microsoft.com/office/infopath/2007/PartnerControls"/>
    </lcf76f155ced4ddcb4097134ff3c332f>
    <TaxCatchAll xmlns="9dea7bdf-9200-4eb6-9dac-eae6580a08d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2E264504DE0D64DB0A57DC4F41AB52E" ma:contentTypeVersion="17" ma:contentTypeDescription="Utwórz nowy dokument." ma:contentTypeScope="" ma:versionID="d754ee4f99bf4311368348a92fdaed46">
  <xsd:schema xmlns:xsd="http://www.w3.org/2001/XMLSchema" xmlns:xs="http://www.w3.org/2001/XMLSchema" xmlns:p="http://schemas.microsoft.com/office/2006/metadata/properties" xmlns:ns2="14020bbd-92e4-4c3c-9015-008970a4bfb0" xmlns:ns3="9dea7bdf-9200-4eb6-9dac-eae6580a08d7" targetNamespace="http://schemas.microsoft.com/office/2006/metadata/properties" ma:root="true" ma:fieldsID="a2718bb641ecbedf22b6a66159ce7673" ns2:_="" ns3:_="">
    <xsd:import namespace="14020bbd-92e4-4c3c-9015-008970a4bfb0"/>
    <xsd:import namespace="9dea7bdf-9200-4eb6-9dac-eae6580a08d7"/>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020bbd-92e4-4c3c-9015-008970a4bf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20421c0d-218e-4a6c-a7e0-f38f9e32bffb"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ea7bdf-9200-4eb6-9dac-eae6580a08d7" elementFormDefault="qualified">
    <xsd:import namespace="http://schemas.microsoft.com/office/2006/documentManagement/types"/>
    <xsd:import namespace="http://schemas.microsoft.com/office/infopath/2007/PartnerControls"/>
    <xsd:element name="SharedWithUsers" ma:index="17"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Udostępnione dla — szczegóły" ma:internalName="SharedWithDetails" ma:readOnly="true">
      <xsd:simpleType>
        <xsd:restriction base="dms:Note">
          <xsd:maxLength value="255"/>
        </xsd:restriction>
      </xsd:simpleType>
    </xsd:element>
    <xsd:element name="TaxCatchAll" ma:index="21" nillable="true" ma:displayName="Taxonomy Catch All Column" ma:hidden="true" ma:list="{a4ceea14-31c5-41f4-90bb-67e350a62ed8}" ma:internalName="TaxCatchAll" ma:showField="CatchAllData" ma:web="9dea7bdf-9200-4eb6-9dac-eae6580a08d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999C0C-DEA2-40C9-8FAF-F60FC5D67FC6}">
  <ds:schemaRefs>
    <ds:schemaRef ds:uri="http://schemas.microsoft.com/sharepoint/v3/contenttype/forms"/>
  </ds:schemaRefs>
</ds:datastoreItem>
</file>

<file path=customXml/itemProps2.xml><?xml version="1.0" encoding="utf-8"?>
<ds:datastoreItem xmlns:ds="http://schemas.openxmlformats.org/officeDocument/2006/customXml" ds:itemID="{167ACD9C-656C-40B5-B560-6A40ECC366BC}">
  <ds:schemaRefs>
    <ds:schemaRef ds:uri="http://schemas.openxmlformats.org/officeDocument/2006/bibliography"/>
  </ds:schemaRefs>
</ds:datastoreItem>
</file>

<file path=customXml/itemProps3.xml><?xml version="1.0" encoding="utf-8"?>
<ds:datastoreItem xmlns:ds="http://schemas.openxmlformats.org/officeDocument/2006/customXml" ds:itemID="{61CAE1A6-7858-41C9-B545-B25D98EB11FB}">
  <ds:schemaRefs>
    <ds:schemaRef ds:uri="http://schemas.microsoft.com/office/2006/metadata/properties"/>
    <ds:schemaRef ds:uri="http://schemas.microsoft.com/office/infopath/2007/PartnerControls"/>
    <ds:schemaRef ds:uri="14020bbd-92e4-4c3c-9015-008970a4bfb0"/>
    <ds:schemaRef ds:uri="9dea7bdf-9200-4eb6-9dac-eae6580a08d7"/>
  </ds:schemaRefs>
</ds:datastoreItem>
</file>

<file path=customXml/itemProps4.xml><?xml version="1.0" encoding="utf-8"?>
<ds:datastoreItem xmlns:ds="http://schemas.openxmlformats.org/officeDocument/2006/customXml" ds:itemID="{104AE076-3C23-4F5E-A225-AC08D214D0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020bbd-92e4-4c3c-9015-008970a4bfb0"/>
    <ds:schemaRef ds:uri="9dea7bdf-9200-4eb6-9dac-eae6580a08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32</TotalTime>
  <Application>LibreOffice/26.2.6.3$Windows_X86_64 LibreOffice_project/8221e31b3ac356a1623c672912a3d2b492f7e3d1</Application>
  <AppVersion>15.0000</AppVersion>
  <Pages>2</Pages>
  <Words>1538</Words>
  <Characters>10678</Characters>
  <CharactersWithSpaces>12199</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2026-10-30T13:54:00Z</dcterms:created>
  <dc:creator>Gill, Stephanie</dc:creator>
  <dc:description/>
  <dc:language>pl-PL</dc:language>
  <cp:lastModifiedBy/>
  <dcterms:modified xsi:type="dcterms:W3CDTF">2026-11-03T08:22:57Z</dcterms:modified>
  <cp:revision>24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0x01010032E264504DE0D64DB0A57DC4F41AB52E</vt:lpwstr>
  </property>
  <property fmtid="{D5CDD505-2E9C-101B-9397-08002B2CF9AE}" pid="3" name="MediaServiceImageTags">
    <vt:lpwstr/>
  </property>
</Properties>
</file>