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4DC5A" w14:textId="6206F50A" w:rsidR="00F3181B" w:rsidRPr="00013745" w:rsidRDefault="00F3181B" w:rsidP="005806B2">
      <w:pPr>
        <w:spacing w:line="360" w:lineRule="auto"/>
        <w:jc w:val="center"/>
        <w:rPr>
          <w:rFonts w:cstheme="minorHAnsi"/>
          <w:b/>
          <w:bCs/>
          <w:sz w:val="34"/>
          <w:szCs w:val="34"/>
        </w:rPr>
      </w:pPr>
      <w:r w:rsidRPr="00013745">
        <w:rPr>
          <w:rFonts w:cstheme="minorHAnsi"/>
          <w:b/>
          <w:bCs/>
          <w:sz w:val="34"/>
          <w:szCs w:val="34"/>
        </w:rPr>
        <w:t xml:space="preserve">Unia Europejska przyspiesza zieloną transformację. </w:t>
      </w:r>
      <w:r w:rsidR="005806B2">
        <w:rPr>
          <w:rFonts w:cstheme="minorHAnsi"/>
          <w:b/>
          <w:bCs/>
          <w:sz w:val="34"/>
          <w:szCs w:val="34"/>
        </w:rPr>
        <w:br/>
      </w:r>
      <w:r w:rsidRPr="00013745">
        <w:rPr>
          <w:rFonts w:cstheme="minorHAnsi"/>
          <w:b/>
          <w:bCs/>
          <w:sz w:val="34"/>
          <w:szCs w:val="34"/>
        </w:rPr>
        <w:t>Beyond.pl jedynym polskim członkiem Europejskiej Koalicji na Rzecz Ekologicznej Cyfryzacji</w:t>
      </w:r>
      <w:r w:rsidR="00316192">
        <w:rPr>
          <w:rFonts w:cstheme="minorHAnsi"/>
          <w:b/>
          <w:bCs/>
          <w:sz w:val="34"/>
          <w:szCs w:val="34"/>
        </w:rPr>
        <w:t>.</w:t>
      </w:r>
    </w:p>
    <w:p w14:paraId="59C65ABC" w14:textId="77777777" w:rsidR="00F3181B" w:rsidRPr="00013745" w:rsidRDefault="00F3181B" w:rsidP="00F3181B">
      <w:pPr>
        <w:spacing w:line="360" w:lineRule="auto"/>
        <w:rPr>
          <w:rFonts w:cstheme="minorHAnsi"/>
          <w:b/>
          <w:bCs/>
          <w:sz w:val="32"/>
          <w:szCs w:val="32"/>
        </w:rPr>
      </w:pPr>
    </w:p>
    <w:p w14:paraId="2993C9AC" w14:textId="5491085A" w:rsidR="00F3181B" w:rsidRPr="00013745" w:rsidRDefault="00F3181B" w:rsidP="00F3181B">
      <w:pPr>
        <w:spacing w:line="360" w:lineRule="auto"/>
        <w:rPr>
          <w:rFonts w:cstheme="minorHAnsi"/>
          <w:sz w:val="24"/>
          <w:szCs w:val="24"/>
        </w:rPr>
      </w:pPr>
      <w:r w:rsidRPr="00013745">
        <w:rPr>
          <w:rFonts w:cstheme="minorHAnsi"/>
          <w:sz w:val="24"/>
          <w:szCs w:val="24"/>
        </w:rPr>
        <w:t xml:space="preserve">Poznań, </w:t>
      </w:r>
      <w:r w:rsidR="005806B2">
        <w:rPr>
          <w:rFonts w:cstheme="minorHAnsi"/>
          <w:sz w:val="24"/>
          <w:szCs w:val="24"/>
        </w:rPr>
        <w:t xml:space="preserve">19 marca </w:t>
      </w:r>
      <w:r w:rsidRPr="00013745">
        <w:rPr>
          <w:rFonts w:cstheme="minorHAnsi"/>
          <w:sz w:val="24"/>
          <w:szCs w:val="24"/>
        </w:rPr>
        <w:t xml:space="preserve">2021 </w:t>
      </w:r>
    </w:p>
    <w:p w14:paraId="25AC8A20" w14:textId="77777777" w:rsidR="00F3181B" w:rsidRPr="00D66088" w:rsidRDefault="00F3181B" w:rsidP="005806B2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D66088">
        <w:rPr>
          <w:rFonts w:cstheme="minorHAnsi"/>
          <w:b/>
          <w:bCs/>
          <w:sz w:val="28"/>
          <w:szCs w:val="28"/>
        </w:rPr>
        <w:t xml:space="preserve">Unia Europejska walczy o obniżenie emisji gazów cieplarnianych i osiągnięcie neutralności klimatycznej Starego Kontynentu. 19 marca 2021 roku podczas </w:t>
      </w:r>
      <w:r w:rsidRPr="00D66088">
        <w:rPr>
          <w:rFonts w:cstheme="minorHAnsi"/>
          <w:b/>
          <w:bCs/>
          <w:i/>
          <w:iCs/>
          <w:sz w:val="28"/>
          <w:szCs w:val="28"/>
        </w:rPr>
        <w:t xml:space="preserve">Digital Day 2021, </w:t>
      </w:r>
      <w:r w:rsidRPr="00D66088">
        <w:rPr>
          <w:rFonts w:cstheme="minorHAnsi"/>
          <w:b/>
          <w:bCs/>
          <w:sz w:val="28"/>
          <w:szCs w:val="28"/>
        </w:rPr>
        <w:t>konferencji organizowanej przez Komisję Europejską, poinformowano o uruchomieniu trzech inicjatyw wspierających zrównoważony rozwój w Europie</w:t>
      </w:r>
      <w:r>
        <w:rPr>
          <w:rFonts w:cstheme="minorHAnsi"/>
          <w:b/>
          <w:bCs/>
          <w:sz w:val="28"/>
          <w:szCs w:val="28"/>
        </w:rPr>
        <w:t xml:space="preserve">. Jedną z nich jest </w:t>
      </w:r>
      <w:r w:rsidRPr="00D66088">
        <w:rPr>
          <w:rFonts w:cstheme="minorHAnsi"/>
          <w:b/>
          <w:bCs/>
          <w:sz w:val="28"/>
          <w:szCs w:val="28"/>
        </w:rPr>
        <w:t xml:space="preserve">Europejska Koalicja na Rzecz Ekologicznej Cyfryzacji (EGDC). </w:t>
      </w:r>
      <w:r>
        <w:rPr>
          <w:rFonts w:cstheme="minorHAnsi"/>
          <w:b/>
          <w:bCs/>
          <w:sz w:val="28"/>
          <w:szCs w:val="28"/>
        </w:rPr>
        <w:t>F</w:t>
      </w:r>
      <w:r w:rsidRPr="00D66088">
        <w:rPr>
          <w:rFonts w:cstheme="minorHAnsi"/>
          <w:b/>
          <w:bCs/>
          <w:sz w:val="28"/>
          <w:szCs w:val="28"/>
        </w:rPr>
        <w:t xml:space="preserve">irmą reprezentującą </w:t>
      </w:r>
      <w:r>
        <w:rPr>
          <w:rFonts w:cstheme="minorHAnsi"/>
          <w:b/>
          <w:bCs/>
          <w:sz w:val="28"/>
          <w:szCs w:val="28"/>
        </w:rPr>
        <w:t>polski sektor prywatny</w:t>
      </w:r>
      <w:r w:rsidRPr="00D66088">
        <w:rPr>
          <w:rFonts w:cstheme="minorHAnsi"/>
          <w:b/>
          <w:bCs/>
          <w:sz w:val="28"/>
          <w:szCs w:val="28"/>
        </w:rPr>
        <w:t xml:space="preserve"> jest Beyond.pl, dostawca usług data center i cloud computing</w:t>
      </w:r>
      <w:r>
        <w:rPr>
          <w:rFonts w:cstheme="minorHAnsi"/>
          <w:b/>
          <w:bCs/>
          <w:sz w:val="28"/>
          <w:szCs w:val="28"/>
        </w:rPr>
        <w:t xml:space="preserve"> oraz </w:t>
      </w:r>
      <w:r w:rsidRPr="00D66088">
        <w:rPr>
          <w:rFonts w:cstheme="minorHAnsi"/>
          <w:b/>
          <w:bCs/>
          <w:sz w:val="28"/>
          <w:szCs w:val="28"/>
        </w:rPr>
        <w:t xml:space="preserve">operator najbezpieczniejszego centrum danych w Europie Centralnej. </w:t>
      </w:r>
    </w:p>
    <w:p w14:paraId="673BC1C4" w14:textId="04DC2E48" w:rsidR="00F3181B" w:rsidRPr="00013745" w:rsidRDefault="00F3181B" w:rsidP="005806B2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013745">
        <w:rPr>
          <w:rFonts w:cstheme="minorHAnsi"/>
          <w:sz w:val="24"/>
          <w:szCs w:val="24"/>
        </w:rPr>
        <w:t>European Green Digital Coalition (EGDC)</w:t>
      </w:r>
      <w:r w:rsidRPr="00013745">
        <w:rPr>
          <w:rFonts w:cstheme="minorHAnsi"/>
          <w:b/>
          <w:bCs/>
          <w:sz w:val="24"/>
          <w:szCs w:val="24"/>
        </w:rPr>
        <w:t xml:space="preserve"> </w:t>
      </w:r>
      <w:r w:rsidRPr="00013745">
        <w:rPr>
          <w:rFonts w:cstheme="minorHAnsi"/>
          <w:sz w:val="24"/>
          <w:szCs w:val="24"/>
        </w:rPr>
        <w:t xml:space="preserve">to inicjatywa Rady UE, której głównym celem jest wspieranie idei zielonego ładu </w:t>
      </w:r>
      <w:r>
        <w:rPr>
          <w:rFonts w:cstheme="minorHAnsi"/>
          <w:sz w:val="24"/>
          <w:szCs w:val="24"/>
        </w:rPr>
        <w:t>w przestrzeni publicznej i komercyjnej.</w:t>
      </w:r>
      <w:r w:rsidRPr="00013745">
        <w:rPr>
          <w:rFonts w:cstheme="minorHAnsi"/>
          <w:sz w:val="24"/>
          <w:szCs w:val="24"/>
        </w:rPr>
        <w:t xml:space="preserve"> Członkowie-założyciele EGDC reprezentujący firmy z sektora ICT zobowiązują się do znacznego zmniejszenia </w:t>
      </w:r>
      <w:r>
        <w:rPr>
          <w:rFonts w:cstheme="minorHAnsi"/>
          <w:sz w:val="24"/>
          <w:szCs w:val="24"/>
        </w:rPr>
        <w:t xml:space="preserve">swojego </w:t>
      </w:r>
      <w:r w:rsidRPr="00013745">
        <w:rPr>
          <w:rFonts w:cstheme="minorHAnsi"/>
          <w:sz w:val="24"/>
          <w:szCs w:val="24"/>
        </w:rPr>
        <w:t>śladu węglowego do 2030 r.</w:t>
      </w:r>
      <w:r>
        <w:rPr>
          <w:rFonts w:cstheme="minorHAnsi"/>
          <w:sz w:val="24"/>
          <w:szCs w:val="24"/>
        </w:rPr>
        <w:t xml:space="preserve"> oraz </w:t>
      </w:r>
      <w:r w:rsidRPr="00013745">
        <w:rPr>
          <w:rFonts w:cstheme="minorHAnsi"/>
          <w:sz w:val="24"/>
          <w:szCs w:val="24"/>
        </w:rPr>
        <w:t xml:space="preserve">stania się neutralnym dla klimatu do 2040 r. Dla sygnatariuszy deklaracji oznacza to </w:t>
      </w:r>
      <w:r>
        <w:rPr>
          <w:rFonts w:cstheme="minorHAnsi"/>
          <w:sz w:val="24"/>
          <w:szCs w:val="24"/>
        </w:rPr>
        <w:t xml:space="preserve">minimalizowanie negatywnego wpływu digitalizacji UE na środowisko i </w:t>
      </w:r>
      <w:r w:rsidRPr="00013745">
        <w:rPr>
          <w:rFonts w:cstheme="minorHAnsi"/>
          <w:sz w:val="24"/>
          <w:szCs w:val="24"/>
        </w:rPr>
        <w:t xml:space="preserve">bliską współpracę z Komisją Europejską przy tworzeniu zaleceń dotyczących wdrażania ekologicznych rozwiązań cyfrowych oraz znormalizowanych i porównywalnych metod oceny ich wpływu na środowisko. </w:t>
      </w:r>
      <w:r>
        <w:rPr>
          <w:rFonts w:cstheme="minorHAnsi"/>
          <w:sz w:val="24"/>
          <w:szCs w:val="24"/>
        </w:rPr>
        <w:t>Wspólnie w</w:t>
      </w:r>
      <w:r w:rsidRPr="00013745">
        <w:rPr>
          <w:rFonts w:cstheme="minorHAnsi"/>
          <w:sz w:val="24"/>
          <w:szCs w:val="24"/>
        </w:rPr>
        <w:t xml:space="preserve">ypracowane zasady będą wykorzystane podczas </w:t>
      </w:r>
      <w:r>
        <w:rPr>
          <w:rFonts w:cstheme="minorHAnsi"/>
          <w:sz w:val="24"/>
          <w:szCs w:val="24"/>
        </w:rPr>
        <w:t>dystrybucji</w:t>
      </w:r>
      <w:r w:rsidRPr="00013745">
        <w:rPr>
          <w:rFonts w:cstheme="minorHAnsi"/>
          <w:sz w:val="24"/>
          <w:szCs w:val="24"/>
        </w:rPr>
        <w:t xml:space="preserve"> środków unijnych, aby wpierać przede wszystkim projekty i inicjatywy charakteryzujące się jak najniższym śladem węglowym. Deklarację formalizującą koalicję pod auspicjami UE podpisało 26 firm, w tym m.in. Microsoft, SAP SE, IBM, </w:t>
      </w:r>
      <w:r w:rsidRPr="00013745">
        <w:rPr>
          <w:rFonts w:cstheme="minorHAnsi"/>
          <w:sz w:val="24"/>
          <w:szCs w:val="24"/>
          <w:lang w:val="fr-BE"/>
        </w:rPr>
        <w:t xml:space="preserve">Schneider Electric czy Accenture. </w:t>
      </w:r>
    </w:p>
    <w:p w14:paraId="7A857BBA" w14:textId="77777777" w:rsidR="00F3181B" w:rsidRPr="00013745" w:rsidRDefault="00F3181B" w:rsidP="00F3181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013745">
        <w:rPr>
          <w:rFonts w:cstheme="minorHAnsi"/>
          <w:b/>
          <w:bCs/>
          <w:sz w:val="24"/>
          <w:szCs w:val="24"/>
        </w:rPr>
        <w:t xml:space="preserve">Beyond.pl pomoże w tworzeniu standardów </w:t>
      </w:r>
    </w:p>
    <w:p w14:paraId="6DE8949D" w14:textId="7838D0CB" w:rsidR="00F3181B" w:rsidRPr="00013745" w:rsidRDefault="00F3181B" w:rsidP="005806B2">
      <w:pPr>
        <w:spacing w:line="276" w:lineRule="auto"/>
        <w:rPr>
          <w:rFonts w:cstheme="minorHAnsi"/>
          <w:sz w:val="24"/>
          <w:szCs w:val="24"/>
        </w:rPr>
      </w:pPr>
      <w:r w:rsidRPr="00013745">
        <w:rPr>
          <w:rFonts w:cstheme="minorHAnsi"/>
          <w:sz w:val="24"/>
          <w:szCs w:val="24"/>
        </w:rPr>
        <w:t>Jedynym polskim członkiem założycielem Koalicji jest Beyond.pl, dostawca usług data center i chmury obliczeniowej.</w:t>
      </w:r>
      <w:r w:rsidR="005806B2">
        <w:rPr>
          <w:rFonts w:cstheme="minorHAnsi"/>
          <w:sz w:val="24"/>
          <w:szCs w:val="24"/>
        </w:rPr>
        <w:t xml:space="preserve"> </w:t>
      </w:r>
      <w:r w:rsidRPr="00013745">
        <w:rPr>
          <w:rFonts w:cstheme="minorHAnsi"/>
          <w:sz w:val="24"/>
          <w:szCs w:val="24"/>
        </w:rPr>
        <w:t xml:space="preserve">Jak zauważa Wojciech Stramski, CEO Beyond.pl, postępująca cyfryzacja, przenoszenie biznesu, edukacji czy rozrywki do świata online, zwiększy istotnie </w:t>
      </w:r>
      <w:r w:rsidRPr="00013745">
        <w:rPr>
          <w:rFonts w:cstheme="minorHAnsi"/>
          <w:sz w:val="24"/>
          <w:szCs w:val="24"/>
        </w:rPr>
        <w:lastRenderedPageBreak/>
        <w:t xml:space="preserve">zapotrzebowanie </w:t>
      </w:r>
      <w:r>
        <w:rPr>
          <w:rFonts w:cstheme="minorHAnsi"/>
          <w:sz w:val="24"/>
          <w:szCs w:val="24"/>
        </w:rPr>
        <w:t xml:space="preserve">na </w:t>
      </w:r>
      <w:r w:rsidRPr="00013745">
        <w:rPr>
          <w:rFonts w:cstheme="minorHAnsi"/>
          <w:sz w:val="24"/>
          <w:szCs w:val="24"/>
        </w:rPr>
        <w:t>centr</w:t>
      </w:r>
      <w:r>
        <w:rPr>
          <w:rFonts w:cstheme="minorHAnsi"/>
          <w:sz w:val="24"/>
          <w:szCs w:val="24"/>
        </w:rPr>
        <w:t>a</w:t>
      </w:r>
      <w:r w:rsidRPr="00013745">
        <w:rPr>
          <w:rFonts w:cstheme="minorHAnsi"/>
          <w:sz w:val="24"/>
          <w:szCs w:val="24"/>
        </w:rPr>
        <w:t xml:space="preserve"> danych</w:t>
      </w:r>
      <w:r>
        <w:rPr>
          <w:rFonts w:cstheme="minorHAnsi"/>
          <w:sz w:val="24"/>
          <w:szCs w:val="24"/>
        </w:rPr>
        <w:t xml:space="preserve"> nowej generacji,</w:t>
      </w:r>
      <w:r w:rsidRPr="000137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 zapewniają jak najniższe zużycie energii</w:t>
      </w:r>
      <w:r w:rsidRPr="00013745">
        <w:rPr>
          <w:rFonts w:cstheme="minorHAnsi"/>
          <w:sz w:val="24"/>
          <w:szCs w:val="24"/>
        </w:rPr>
        <w:t> elektryczn</w:t>
      </w:r>
      <w:r>
        <w:rPr>
          <w:rFonts w:cstheme="minorHAnsi"/>
          <w:sz w:val="24"/>
          <w:szCs w:val="24"/>
        </w:rPr>
        <w:t>ej pod utrzymanie infrastruktury IT</w:t>
      </w:r>
      <w:r w:rsidRPr="0001374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</w:p>
    <w:p w14:paraId="7EC7FBDD" w14:textId="77777777" w:rsidR="005806B2" w:rsidRDefault="00F3181B" w:rsidP="005806B2">
      <w:pPr>
        <w:spacing w:line="276" w:lineRule="auto"/>
        <w:rPr>
          <w:rFonts w:cstheme="minorHAnsi"/>
          <w:sz w:val="24"/>
          <w:szCs w:val="24"/>
        </w:rPr>
      </w:pPr>
      <w:r w:rsidRPr="00013745">
        <w:rPr>
          <w:rFonts w:cstheme="minorHAnsi"/>
          <w:sz w:val="24"/>
          <w:szCs w:val="24"/>
        </w:rPr>
        <w:t xml:space="preserve">- </w:t>
      </w:r>
      <w:r w:rsidRPr="00013745">
        <w:rPr>
          <w:rFonts w:cstheme="minorHAnsi"/>
          <w:i/>
          <w:iCs/>
          <w:sz w:val="24"/>
          <w:szCs w:val="24"/>
        </w:rPr>
        <w:t>Zielone centrum danych posiadające wskaźnik efektywności energetycznej (PUE) na poziomie 1.2 jest przyjaźniejsze środowisku do tego, w którym efektywność energetyczna wynosi 1.4-1.6 i więcej.</w:t>
      </w:r>
      <w:r>
        <w:rPr>
          <w:rFonts w:cstheme="minorHAnsi"/>
          <w:i/>
          <w:iCs/>
          <w:sz w:val="24"/>
          <w:szCs w:val="24"/>
        </w:rPr>
        <w:t xml:space="preserve"> W porównaniu do innych obiektów tego typu konsumujemy znacznie mniej zielonej energii elektrycznej, którą w efekcie końcowym można zagospodarować w inny sposób. Czysta energia to wciąż dobro ograniczone. </w:t>
      </w:r>
      <w:r w:rsidRPr="00013745">
        <w:rPr>
          <w:rFonts w:cstheme="minorHAnsi"/>
          <w:i/>
          <w:iCs/>
          <w:sz w:val="24"/>
          <w:szCs w:val="24"/>
        </w:rPr>
        <w:t xml:space="preserve">Na własnym przykładzie widzimy, że zasilanie centrum danych wyłącznie z odnawialnych źródeł energii oraz wykorzystanie adiabatycznego systemu chłodzenia serwerów istotnie wpływa na wyższą efektywność energetyczną naszego obiektu. Przystępując do Koalicji chcemy wzmocnić naszą proekologiczną politykę i dzielić się wiedzą z innymi organizacjami. Mamy praktyczne kompetencje i doświadczenie w wykorzystywaniu zielonych rozwiązań, które mogą pomóc w tworzeniu rozwiązań wspierających nasz </w:t>
      </w:r>
      <w:r>
        <w:rPr>
          <w:rFonts w:cstheme="minorHAnsi"/>
          <w:i/>
          <w:iCs/>
          <w:sz w:val="24"/>
          <w:szCs w:val="24"/>
        </w:rPr>
        <w:t xml:space="preserve">wspólny </w:t>
      </w:r>
      <w:r w:rsidRPr="00013745">
        <w:rPr>
          <w:rFonts w:cstheme="minorHAnsi"/>
          <w:i/>
          <w:iCs/>
          <w:sz w:val="24"/>
          <w:szCs w:val="24"/>
        </w:rPr>
        <w:t>strategiczny cel</w:t>
      </w:r>
      <w:r>
        <w:rPr>
          <w:rFonts w:cstheme="minorHAnsi"/>
          <w:i/>
          <w:iCs/>
          <w:sz w:val="24"/>
          <w:szCs w:val="24"/>
        </w:rPr>
        <w:t xml:space="preserve">, którym jest </w:t>
      </w:r>
      <w:r w:rsidRPr="00013745">
        <w:rPr>
          <w:rFonts w:cstheme="minorHAnsi"/>
          <w:i/>
          <w:iCs/>
          <w:sz w:val="24"/>
          <w:szCs w:val="24"/>
        </w:rPr>
        <w:t>neutralność klimatyczn</w:t>
      </w:r>
      <w:r>
        <w:rPr>
          <w:rFonts w:cstheme="minorHAnsi"/>
          <w:i/>
          <w:iCs/>
          <w:sz w:val="24"/>
          <w:szCs w:val="24"/>
        </w:rPr>
        <w:t>a</w:t>
      </w:r>
      <w:r w:rsidRPr="00013745">
        <w:rPr>
          <w:rFonts w:cstheme="minorHAnsi"/>
          <w:i/>
          <w:iCs/>
          <w:sz w:val="24"/>
          <w:szCs w:val="24"/>
        </w:rPr>
        <w:t xml:space="preserve"> Europy </w:t>
      </w:r>
      <w:r w:rsidRPr="00013745">
        <w:rPr>
          <w:rFonts w:cstheme="minorHAnsi"/>
          <w:sz w:val="24"/>
          <w:szCs w:val="24"/>
        </w:rPr>
        <w:t xml:space="preserve">– tłumaczy </w:t>
      </w:r>
      <w:r w:rsidRPr="00013745">
        <w:rPr>
          <w:rFonts w:cstheme="minorHAnsi"/>
          <w:b/>
          <w:bCs/>
          <w:sz w:val="24"/>
          <w:szCs w:val="24"/>
        </w:rPr>
        <w:t xml:space="preserve">Wojciech Stramski, CEO Beyond.pl. </w:t>
      </w:r>
    </w:p>
    <w:p w14:paraId="5005F7C0" w14:textId="385DBA7C" w:rsidR="00F3181B" w:rsidRPr="005806B2" w:rsidRDefault="00F3181B" w:rsidP="005806B2">
      <w:pPr>
        <w:spacing w:line="276" w:lineRule="auto"/>
        <w:rPr>
          <w:rFonts w:cstheme="minorHAnsi"/>
          <w:sz w:val="24"/>
          <w:szCs w:val="24"/>
        </w:rPr>
      </w:pPr>
      <w:r w:rsidRPr="00013745">
        <w:rPr>
          <w:rFonts w:cstheme="minorHAnsi"/>
          <w:b/>
          <w:bCs/>
          <w:sz w:val="24"/>
          <w:szCs w:val="24"/>
        </w:rPr>
        <w:t>Zielone inicjatywy UE</w:t>
      </w:r>
    </w:p>
    <w:p w14:paraId="0FFE6F0C" w14:textId="77777777" w:rsidR="00F3181B" w:rsidRPr="00013745" w:rsidRDefault="00F3181B" w:rsidP="005806B2">
      <w:pPr>
        <w:spacing w:line="276" w:lineRule="auto"/>
        <w:rPr>
          <w:rFonts w:cstheme="minorHAnsi"/>
          <w:sz w:val="24"/>
          <w:szCs w:val="24"/>
        </w:rPr>
      </w:pPr>
      <w:r w:rsidRPr="00013745">
        <w:rPr>
          <w:rFonts w:cstheme="minorHAnsi"/>
          <w:sz w:val="24"/>
          <w:szCs w:val="24"/>
        </w:rPr>
        <w:t>Uczestnictwo polskiego przedstawiciela branży data center w europejskiej koalicji jest efektem wcześniejszego przystąpienia Beyond.pl do Paktu na Rzecz Neutralności Klimatycznej Centrów Danych (Neutral Data Center Pact). Zarówno Pakt, jak i EGDC mają za zadanie stworzyć nowe standardy w zakresie ograniczania emisji gazów cieplarnianych i przybliżyć Europę do osiągnięcia neutralności klimatycznej. Unia Europejska ma regularnie weryfikować efekty inicjatywy oraz Paktu na Rzecz Neutralności Klimatycznej. Pierwsze wyniki działań mają zostać zaprezentowane w 2022 roku. Do Koalicji mogą dobrowolnie dołączać kolejne organizacje.</w:t>
      </w:r>
    </w:p>
    <w:p w14:paraId="502B1495" w14:textId="5DE5F3B0" w:rsidR="00F3181B" w:rsidRPr="00013745" w:rsidRDefault="00F3181B" w:rsidP="005806B2">
      <w:pPr>
        <w:spacing w:line="276" w:lineRule="auto"/>
        <w:rPr>
          <w:rFonts w:cstheme="minorHAnsi"/>
          <w:sz w:val="24"/>
          <w:szCs w:val="24"/>
        </w:rPr>
      </w:pPr>
      <w:r w:rsidRPr="00013745">
        <w:rPr>
          <w:rFonts w:cstheme="minorHAnsi"/>
          <w:sz w:val="24"/>
          <w:szCs w:val="24"/>
        </w:rPr>
        <w:t xml:space="preserve">Inicjatywa EGDC została ogłoszona równolegle z </w:t>
      </w:r>
      <w:r>
        <w:rPr>
          <w:rFonts w:cstheme="minorHAnsi"/>
          <w:sz w:val="24"/>
          <w:szCs w:val="24"/>
        </w:rPr>
        <w:t>upublicznieniem</w:t>
      </w:r>
      <w:r w:rsidRPr="00013745">
        <w:rPr>
          <w:rFonts w:cstheme="minorHAnsi"/>
          <w:sz w:val="24"/>
          <w:szCs w:val="24"/>
        </w:rPr>
        <w:t xml:space="preserve"> </w:t>
      </w:r>
      <w:r w:rsidR="002A6790">
        <w:rPr>
          <w:rFonts w:cstheme="minorHAnsi"/>
          <w:sz w:val="24"/>
          <w:szCs w:val="24"/>
        </w:rPr>
        <w:t xml:space="preserve">przez </w:t>
      </w:r>
      <w:r w:rsidR="002A6790" w:rsidRPr="00013745">
        <w:rPr>
          <w:rFonts w:cstheme="minorHAnsi"/>
          <w:sz w:val="24"/>
          <w:szCs w:val="24"/>
        </w:rPr>
        <w:t>Komisj</w:t>
      </w:r>
      <w:r w:rsidR="002A6790">
        <w:rPr>
          <w:rFonts w:cstheme="minorHAnsi"/>
          <w:sz w:val="24"/>
          <w:szCs w:val="24"/>
        </w:rPr>
        <w:t>ę</w:t>
      </w:r>
      <w:r w:rsidR="002A6790" w:rsidRPr="00013745">
        <w:rPr>
          <w:rFonts w:cstheme="minorHAnsi"/>
          <w:sz w:val="24"/>
          <w:szCs w:val="24"/>
        </w:rPr>
        <w:t xml:space="preserve"> Europejsk</w:t>
      </w:r>
      <w:r w:rsidR="002A6790">
        <w:rPr>
          <w:rFonts w:cstheme="minorHAnsi"/>
          <w:sz w:val="24"/>
          <w:szCs w:val="24"/>
        </w:rPr>
        <w:t>ą</w:t>
      </w:r>
      <w:r w:rsidR="002A6790" w:rsidRPr="00013745">
        <w:rPr>
          <w:rFonts w:cstheme="minorHAnsi"/>
          <w:sz w:val="24"/>
          <w:szCs w:val="24"/>
        </w:rPr>
        <w:t xml:space="preserve"> </w:t>
      </w:r>
      <w:r w:rsidRPr="00013745">
        <w:rPr>
          <w:rFonts w:cstheme="minorHAnsi"/>
          <w:sz w:val="24"/>
          <w:szCs w:val="24"/>
        </w:rPr>
        <w:t>deklaracji „Zielona i Cyfrowa Transformacja Unii Europejskiej”</w:t>
      </w:r>
      <w:r w:rsidR="002A6790">
        <w:rPr>
          <w:rFonts w:cstheme="minorHAnsi"/>
          <w:sz w:val="24"/>
          <w:szCs w:val="24"/>
        </w:rPr>
        <w:t xml:space="preserve"> (</w:t>
      </w:r>
      <w:r w:rsidR="002A6790" w:rsidRPr="002A6790">
        <w:rPr>
          <w:rFonts w:cstheme="minorHAnsi"/>
          <w:sz w:val="24"/>
          <w:szCs w:val="24"/>
        </w:rPr>
        <w:t>“A Green and Digital Transformation of the EU”</w:t>
      </w:r>
      <w:r w:rsidR="002A6790">
        <w:rPr>
          <w:rFonts w:cstheme="minorHAnsi"/>
          <w:sz w:val="24"/>
          <w:szCs w:val="24"/>
        </w:rPr>
        <w:t>), którą podpisało</w:t>
      </w:r>
      <w:r w:rsidRPr="00013745">
        <w:rPr>
          <w:rFonts w:cstheme="minorHAnsi"/>
          <w:sz w:val="24"/>
          <w:szCs w:val="24"/>
        </w:rPr>
        <w:t xml:space="preserve"> 26 państw członkowskich, w tym Polsk</w:t>
      </w:r>
      <w:r w:rsidR="002A679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. </w:t>
      </w:r>
      <w:r w:rsidRPr="00013745">
        <w:rPr>
          <w:rFonts w:cstheme="minorHAnsi"/>
          <w:sz w:val="24"/>
          <w:szCs w:val="24"/>
        </w:rPr>
        <w:t xml:space="preserve">Również </w:t>
      </w:r>
      <w:r w:rsidR="002A6790">
        <w:rPr>
          <w:rFonts w:cstheme="minorHAnsi"/>
          <w:sz w:val="24"/>
          <w:szCs w:val="24"/>
        </w:rPr>
        <w:t>one</w:t>
      </w:r>
      <w:r w:rsidRPr="00013745">
        <w:rPr>
          <w:rFonts w:cstheme="minorHAnsi"/>
          <w:sz w:val="24"/>
          <w:szCs w:val="24"/>
        </w:rPr>
        <w:t xml:space="preserve"> przyjęły zobowiązanie prowadzenia działań wspierających ograniczenie produkcji gazów cieplarnianych. Unia Europejska ma zamiar zmniejszyć emisję </w:t>
      </w:r>
      <w:r w:rsidRPr="002C35C6">
        <w:rPr>
          <w:rFonts w:cstheme="minorHAnsi"/>
          <w:sz w:val="24"/>
          <w:szCs w:val="24"/>
        </w:rPr>
        <w:t>CO</w:t>
      </w:r>
      <w:r w:rsidRPr="002C35C6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</w:t>
      </w:r>
      <w:r w:rsidRPr="00013745">
        <w:rPr>
          <w:rFonts w:cstheme="minorHAnsi"/>
          <w:sz w:val="24"/>
          <w:szCs w:val="24"/>
        </w:rPr>
        <w:t xml:space="preserve">o 55% do roku 2030 </w:t>
      </w:r>
      <w:r>
        <w:rPr>
          <w:rFonts w:cstheme="minorHAnsi"/>
          <w:sz w:val="24"/>
          <w:szCs w:val="24"/>
        </w:rPr>
        <w:t xml:space="preserve">roku </w:t>
      </w:r>
      <w:r w:rsidRPr="00013745">
        <w:rPr>
          <w:rFonts w:cstheme="minorHAnsi"/>
          <w:sz w:val="24"/>
          <w:szCs w:val="24"/>
        </w:rPr>
        <w:t>i osiągn</w:t>
      </w:r>
      <w:r>
        <w:rPr>
          <w:rFonts w:cstheme="minorHAnsi"/>
          <w:sz w:val="24"/>
          <w:szCs w:val="24"/>
        </w:rPr>
        <w:t>ąć</w:t>
      </w:r>
      <w:r w:rsidRPr="00013745">
        <w:rPr>
          <w:rFonts w:cstheme="minorHAnsi"/>
          <w:sz w:val="24"/>
          <w:szCs w:val="24"/>
        </w:rPr>
        <w:t xml:space="preserve"> pełn</w:t>
      </w:r>
      <w:r>
        <w:rPr>
          <w:rFonts w:cstheme="minorHAnsi"/>
          <w:sz w:val="24"/>
          <w:szCs w:val="24"/>
        </w:rPr>
        <w:t>ą</w:t>
      </w:r>
      <w:r w:rsidRPr="00013745">
        <w:rPr>
          <w:rFonts w:cstheme="minorHAnsi"/>
          <w:sz w:val="24"/>
          <w:szCs w:val="24"/>
        </w:rPr>
        <w:t xml:space="preserve"> neutralnoś</w:t>
      </w:r>
      <w:r>
        <w:rPr>
          <w:rFonts w:cstheme="minorHAnsi"/>
          <w:sz w:val="24"/>
          <w:szCs w:val="24"/>
        </w:rPr>
        <w:t>ć</w:t>
      </w:r>
      <w:r w:rsidRPr="00013745">
        <w:rPr>
          <w:rFonts w:cstheme="minorHAnsi"/>
          <w:sz w:val="24"/>
          <w:szCs w:val="24"/>
        </w:rPr>
        <w:t xml:space="preserve"> klimatyczn</w:t>
      </w:r>
      <w:r>
        <w:rPr>
          <w:rFonts w:cstheme="minorHAnsi"/>
          <w:sz w:val="24"/>
          <w:szCs w:val="24"/>
        </w:rPr>
        <w:t>ą</w:t>
      </w:r>
      <w:r w:rsidRPr="00013745">
        <w:rPr>
          <w:rFonts w:cstheme="minorHAnsi"/>
          <w:sz w:val="24"/>
          <w:szCs w:val="24"/>
        </w:rPr>
        <w:t xml:space="preserve"> do roku 2050.</w:t>
      </w:r>
    </w:p>
    <w:p w14:paraId="52EFDEDF" w14:textId="3FF37572" w:rsidR="00036E34" w:rsidRDefault="00036E34" w:rsidP="00036E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***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5806B2">
        <w:rPr>
          <w:rStyle w:val="eop"/>
          <w:rFonts w:ascii="Calibri" w:hAnsi="Calibri" w:cs="Calibri"/>
          <w:sz w:val="22"/>
          <w:szCs w:val="22"/>
        </w:rPr>
        <w:br/>
      </w:r>
    </w:p>
    <w:p w14:paraId="57460539" w14:textId="46779A8C" w:rsidR="00036E34" w:rsidRDefault="00036E34" w:rsidP="00036E3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O Beyond.pl:</w:t>
      </w:r>
      <w:r>
        <w:rPr>
          <w:rStyle w:val="normaltextrun"/>
          <w:rFonts w:ascii="Calibri" w:hAnsi="Calibri" w:cs="Calibri"/>
          <w:sz w:val="18"/>
          <w:szCs w:val="18"/>
        </w:rPr>
        <w:t> Spółka Beyond.pl ma ambicje być najbardziej zaufanym i szanowanym dostawcą usług przetwarzania danych, </w:t>
      </w:r>
      <w:r>
        <w:rPr>
          <w:rStyle w:val="spellingerror"/>
          <w:rFonts w:ascii="Calibri" w:hAnsi="Calibri" w:cs="Calibri"/>
          <w:sz w:val="18"/>
          <w:szCs w:val="18"/>
        </w:rPr>
        <w:t>managed</w:t>
      </w:r>
      <w:r>
        <w:rPr>
          <w:rStyle w:val="normaltextrun"/>
          <w:rFonts w:ascii="Calibri" w:hAnsi="Calibri" w:cs="Calibri"/>
          <w:sz w:val="18"/>
          <w:szCs w:val="18"/>
        </w:rPr>
        <w:t> services, środowisk chmurowych i infrastruktury as a service w Polsce i Europie Środkowo-Wschodniej. Beyond.pl zapewnia najwyższy poziom bezpieczeństwa i ciągłości dostępu do danych, pozwalając klientom i partnerom budować przewagę konkurencyjną, wprowadzać innowacje i stabilnie się rozwijać.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570D515" w14:textId="77777777" w:rsidR="00036E34" w:rsidRDefault="00036E34" w:rsidP="00036E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4435158" w14:textId="12E97A52" w:rsidR="00036E34" w:rsidRDefault="00036E34" w:rsidP="00036E3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Spółka powstała w 2005 roku. Jest najbezpieczniejszym data </w:t>
      </w:r>
      <w:r>
        <w:rPr>
          <w:rStyle w:val="spellingerror"/>
          <w:rFonts w:ascii="Calibri" w:hAnsi="Calibri" w:cs="Calibri"/>
          <w:sz w:val="18"/>
          <w:szCs w:val="18"/>
        </w:rPr>
        <w:t>center</w:t>
      </w:r>
      <w:r>
        <w:rPr>
          <w:rStyle w:val="normaltextrun"/>
          <w:rFonts w:ascii="Calibri" w:hAnsi="Calibri" w:cs="Calibri"/>
          <w:sz w:val="18"/>
          <w:szCs w:val="18"/>
        </w:rPr>
        <w:t> w całej Europie i najbardziej energooszczędnym obiektem w całej Polsce, który jest zasilany w 100% energią odnawialną. Gwarantuje najwyższy poziom dostępności - do 99,9999%. Jako jedyna na rynku Europy Środkowo-Wschodniej dostarcza mix poziomów </w:t>
      </w:r>
      <w:r>
        <w:rPr>
          <w:rStyle w:val="spellingerror"/>
          <w:rFonts w:ascii="Calibri" w:hAnsi="Calibri" w:cs="Calibri"/>
          <w:sz w:val="18"/>
          <w:szCs w:val="18"/>
        </w:rPr>
        <w:t>Rated</w:t>
      </w:r>
      <w:r>
        <w:rPr>
          <w:rStyle w:val="normaltextrun"/>
          <w:rFonts w:ascii="Calibri" w:hAnsi="Calibri" w:cs="Calibri"/>
          <w:sz w:val="18"/>
          <w:szCs w:val="18"/>
        </w:rPr>
        <w:t xml:space="preserve"> (od 3+ do 4), dostęp do kompleksowej </w:t>
      </w:r>
      <w:r>
        <w:rPr>
          <w:rStyle w:val="normaltextrun"/>
          <w:rFonts w:ascii="Calibri" w:hAnsi="Calibri" w:cs="Calibri"/>
          <w:sz w:val="18"/>
          <w:szCs w:val="18"/>
        </w:rPr>
        <w:lastRenderedPageBreak/>
        <w:t>oferty </w:t>
      </w:r>
      <w:r>
        <w:rPr>
          <w:rStyle w:val="spellingerror"/>
          <w:rFonts w:ascii="Calibri" w:hAnsi="Calibri" w:cs="Calibri"/>
          <w:sz w:val="18"/>
          <w:szCs w:val="18"/>
        </w:rPr>
        <w:t>cloud</w:t>
      </w:r>
      <w:r>
        <w:rPr>
          <w:rStyle w:val="normaltextrun"/>
          <w:rFonts w:ascii="Calibri" w:hAnsi="Calibri" w:cs="Calibri"/>
          <w:sz w:val="18"/>
          <w:szCs w:val="18"/>
        </w:rPr>
        <w:t> opartej o chmurę prywatną, publiczną i rozwiązania hybrydowe oraz wsparcie ze strony ekspertów w ramach usług zarządzanych (</w:t>
      </w:r>
      <w:r>
        <w:rPr>
          <w:rStyle w:val="spellingerror"/>
          <w:rFonts w:ascii="Calibri" w:hAnsi="Calibri" w:cs="Calibri"/>
          <w:sz w:val="18"/>
          <w:szCs w:val="18"/>
        </w:rPr>
        <w:t>managed</w:t>
      </w:r>
      <w:r>
        <w:rPr>
          <w:rStyle w:val="normaltextrun"/>
          <w:rFonts w:ascii="Calibri" w:hAnsi="Calibri" w:cs="Calibri"/>
          <w:sz w:val="18"/>
          <w:szCs w:val="18"/>
        </w:rPr>
        <w:t> services).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2066931" w14:textId="77777777" w:rsidR="005806B2" w:rsidRDefault="005806B2" w:rsidP="00036E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2F83C8D" w14:textId="77777777" w:rsidR="00036E34" w:rsidRDefault="00036E34" w:rsidP="00036E3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Beyond.pl to centra przetwarzania danych typu </w:t>
      </w:r>
      <w:r>
        <w:rPr>
          <w:rStyle w:val="spellingerror"/>
          <w:rFonts w:ascii="Calibri" w:hAnsi="Calibri" w:cs="Calibri"/>
          <w:sz w:val="18"/>
          <w:szCs w:val="18"/>
        </w:rPr>
        <w:t>core</w:t>
      </w:r>
      <w:r>
        <w:rPr>
          <w:rStyle w:val="normaltextrun"/>
          <w:rFonts w:ascii="Calibri" w:hAnsi="Calibri" w:cs="Calibri"/>
          <w:sz w:val="18"/>
          <w:szCs w:val="18"/>
        </w:rPr>
        <w:t> i </w:t>
      </w:r>
      <w:r>
        <w:rPr>
          <w:rStyle w:val="spellingerror"/>
          <w:rFonts w:ascii="Calibri" w:hAnsi="Calibri" w:cs="Calibri"/>
          <w:sz w:val="18"/>
          <w:szCs w:val="18"/>
        </w:rPr>
        <w:t>hyper-edge</w:t>
      </w:r>
      <w:r>
        <w:rPr>
          <w:rStyle w:val="normaltextrun"/>
          <w:rFonts w:ascii="Calibri" w:hAnsi="Calibri" w:cs="Calibri"/>
          <w:sz w:val="18"/>
          <w:szCs w:val="18"/>
        </w:rPr>
        <w:t> o docelowej mocy 42 MW. Firma obsługuje dwa nowoczesne obiekty data </w:t>
      </w:r>
      <w:r>
        <w:rPr>
          <w:rStyle w:val="spellingerror"/>
          <w:rFonts w:ascii="Calibri" w:hAnsi="Calibri" w:cs="Calibri"/>
          <w:sz w:val="18"/>
          <w:szCs w:val="18"/>
        </w:rPr>
        <w:t>center</w:t>
      </w:r>
      <w:r>
        <w:rPr>
          <w:rStyle w:val="normaltextrun"/>
          <w:rFonts w:ascii="Calibri" w:hAnsi="Calibri" w:cs="Calibri"/>
          <w:sz w:val="18"/>
          <w:szCs w:val="18"/>
        </w:rPr>
        <w:t> zlokalizowane w Poznaniu. To pierwsze zielone i neutralne telekomunikacyjnie centrum danych w Polsce. Obiekt, Data Center 2, strategicznie zlokalizowany w połowie drogi między Warszawą a Berlinem - w Poznaniu, jest jedynym centrum danych w Unii Europejskiej spełniającym rygorystyczne wymagania certyfikacji ANSI/TIA-942 na poziomie </w:t>
      </w:r>
      <w:r>
        <w:rPr>
          <w:rStyle w:val="spellingerror"/>
          <w:rFonts w:ascii="Calibri" w:hAnsi="Calibri" w:cs="Calibri"/>
          <w:sz w:val="18"/>
          <w:szCs w:val="18"/>
        </w:rPr>
        <w:t>Rated</w:t>
      </w:r>
      <w:r>
        <w:rPr>
          <w:rStyle w:val="normaltextrun"/>
          <w:rFonts w:ascii="Calibri" w:hAnsi="Calibri" w:cs="Calibri"/>
          <w:sz w:val="18"/>
          <w:szCs w:val="18"/>
        </w:rPr>
        <w:t> 4. Certyfikacja </w:t>
      </w:r>
      <w:r>
        <w:rPr>
          <w:rStyle w:val="spellingerror"/>
          <w:rFonts w:ascii="Calibri" w:hAnsi="Calibri" w:cs="Calibri"/>
          <w:sz w:val="18"/>
          <w:szCs w:val="18"/>
        </w:rPr>
        <w:t>Rated</w:t>
      </w:r>
      <w:r>
        <w:rPr>
          <w:rStyle w:val="normaltextrun"/>
          <w:rFonts w:ascii="Calibri" w:hAnsi="Calibri" w:cs="Calibri"/>
          <w:sz w:val="18"/>
          <w:szCs w:val="18"/>
        </w:rPr>
        <w:t> 4 potwierdza najwyższe standardy bezpieczeństwa data </w:t>
      </w:r>
      <w:r>
        <w:rPr>
          <w:rStyle w:val="spellingerror"/>
          <w:rFonts w:ascii="Calibri" w:hAnsi="Calibri" w:cs="Calibri"/>
          <w:sz w:val="18"/>
          <w:szCs w:val="18"/>
        </w:rPr>
        <w:t>center</w:t>
      </w:r>
      <w:r>
        <w:rPr>
          <w:rStyle w:val="normaltextrun"/>
          <w:rFonts w:ascii="Calibri" w:hAnsi="Calibri" w:cs="Calibri"/>
          <w:sz w:val="18"/>
          <w:szCs w:val="18"/>
        </w:rPr>
        <w:t> w zakresie projektowania, mechaniki, zasilania i telekomunikacji.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27E88D9" w14:textId="3E23776B" w:rsidR="00036E34" w:rsidRDefault="00036E34" w:rsidP="00024B32">
      <w:pPr>
        <w:spacing w:line="276" w:lineRule="auto"/>
        <w:rPr>
          <w:rFonts w:asciiTheme="majorHAnsi" w:hAnsiTheme="majorHAnsi" w:cstheme="majorHAnsi"/>
        </w:rPr>
      </w:pPr>
    </w:p>
    <w:p w14:paraId="71A91F6E" w14:textId="77777777" w:rsidR="00036E34" w:rsidRPr="00024B32" w:rsidRDefault="00036E34" w:rsidP="00024B32">
      <w:pPr>
        <w:spacing w:line="276" w:lineRule="auto"/>
        <w:rPr>
          <w:rFonts w:asciiTheme="majorHAnsi" w:hAnsiTheme="majorHAnsi" w:cstheme="majorHAnsi"/>
        </w:rPr>
      </w:pPr>
    </w:p>
    <w:sectPr w:rsidR="00036E34" w:rsidRPr="00024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47D75" w14:textId="77777777" w:rsidR="00B76537" w:rsidRDefault="00B76537">
      <w:pPr>
        <w:spacing w:before="0" w:after="0"/>
      </w:pPr>
      <w:r>
        <w:separator/>
      </w:r>
    </w:p>
  </w:endnote>
  <w:endnote w:type="continuationSeparator" w:id="0">
    <w:p w14:paraId="505A4AAD" w14:textId="77777777" w:rsidR="00B76537" w:rsidRDefault="00B765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﷽﷽﷽﷽﷽﷽﷽﷽鳠«怀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45E3" w14:textId="77777777" w:rsidR="00FF2EA4" w:rsidRDefault="005067A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153DA53" w14:textId="77777777" w:rsidR="00FF2EA4" w:rsidRDefault="00FF2EA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635BC" w14:textId="77777777" w:rsidR="00FF2EA4" w:rsidRDefault="00FF2EA4">
    <w:pPr>
      <w:spacing w:line="276" w:lineRule="auto"/>
      <w:rPr>
        <w:color w:val="898D8D"/>
        <w:sz w:val="18"/>
        <w:szCs w:val="18"/>
      </w:rPr>
    </w:pPr>
  </w:p>
  <w:p w14:paraId="6BF7800E" w14:textId="37B1BC04" w:rsidR="00FF2EA4" w:rsidRDefault="005067A8" w:rsidP="00C77E4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898D8D"/>
        <w:sz w:val="18"/>
        <w:szCs w:val="18"/>
      </w:rPr>
    </w:pPr>
    <w:r>
      <w:rPr>
        <w:b/>
        <w:color w:val="898D8D"/>
        <w:sz w:val="18"/>
        <w:szCs w:val="18"/>
      </w:rPr>
      <w:t>Siedziba firmy</w:t>
    </w:r>
    <w:r>
      <w:rPr>
        <w:color w:val="898D8D"/>
        <w:sz w:val="18"/>
        <w:szCs w:val="18"/>
      </w:rPr>
      <w:t xml:space="preserve">: ul. Kręglewskiego 11, 61-248 Poznań, </w:t>
    </w:r>
    <w:r>
      <w:rPr>
        <w:b/>
        <w:color w:val="898D8D"/>
        <w:sz w:val="18"/>
        <w:szCs w:val="18"/>
      </w:rPr>
      <w:t>NIP</w:t>
    </w:r>
    <w:r>
      <w:rPr>
        <w:color w:val="898D8D"/>
        <w:sz w:val="18"/>
        <w:szCs w:val="18"/>
      </w:rPr>
      <w:t>: 782-23-24-152,</w:t>
    </w:r>
    <w:r w:rsidR="00CD5401">
      <w:rPr>
        <w:color w:val="898D8D"/>
        <w:sz w:val="18"/>
        <w:szCs w:val="18"/>
      </w:rPr>
      <w:t xml:space="preserve"> </w:t>
    </w:r>
    <w:r w:rsidR="00CD5401" w:rsidRPr="00CD5401">
      <w:rPr>
        <w:b/>
        <w:bCs/>
        <w:color w:val="898D8D"/>
        <w:sz w:val="18"/>
        <w:szCs w:val="18"/>
      </w:rPr>
      <w:t>BDO</w:t>
    </w:r>
    <w:r w:rsidR="00CD5401">
      <w:rPr>
        <w:b/>
        <w:bCs/>
        <w:color w:val="898D8D"/>
        <w:sz w:val="18"/>
        <w:szCs w:val="18"/>
      </w:rPr>
      <w:t>:</w:t>
    </w:r>
    <w:r w:rsidR="00CD5401" w:rsidRPr="00CD5401">
      <w:rPr>
        <w:color w:val="898D8D"/>
        <w:sz w:val="18"/>
        <w:szCs w:val="18"/>
      </w:rPr>
      <w:t xml:space="preserve"> 000356158</w:t>
    </w:r>
  </w:p>
  <w:p w14:paraId="10F89A6A" w14:textId="77777777" w:rsidR="00FF2EA4" w:rsidRDefault="005067A8">
    <w:pPr>
      <w:spacing w:before="0" w:after="0" w:line="360" w:lineRule="auto"/>
      <w:rPr>
        <w:color w:val="898D8D"/>
        <w:sz w:val="18"/>
        <w:szCs w:val="18"/>
      </w:rPr>
    </w:pPr>
    <w:r>
      <w:rPr>
        <w:b/>
        <w:color w:val="898D8D"/>
        <w:sz w:val="18"/>
        <w:szCs w:val="18"/>
      </w:rPr>
      <w:t>KRS</w:t>
    </w:r>
    <w:r>
      <w:rPr>
        <w:color w:val="898D8D"/>
        <w:sz w:val="18"/>
        <w:szCs w:val="18"/>
      </w:rPr>
      <w:t>: 0000237620 Sąd Rejonowy Poznań-Nowe Miasto i Wilda w Poznaniu, VIII Wydział Gospodarczy Krajowego</w:t>
    </w:r>
  </w:p>
  <w:p w14:paraId="2C489BC4" w14:textId="77777777" w:rsidR="00FF2EA4" w:rsidRDefault="005067A8">
    <w:pPr>
      <w:tabs>
        <w:tab w:val="center" w:pos="4536"/>
        <w:tab w:val="right" w:pos="9072"/>
      </w:tabs>
      <w:spacing w:before="0" w:after="0" w:line="360" w:lineRule="auto"/>
      <w:rPr>
        <w:color w:val="898D8D"/>
        <w:sz w:val="18"/>
        <w:szCs w:val="18"/>
      </w:rPr>
    </w:pPr>
    <w:r>
      <w:rPr>
        <w:color w:val="898D8D"/>
        <w:sz w:val="18"/>
        <w:szCs w:val="18"/>
      </w:rPr>
      <w:t xml:space="preserve">Rejestru Sądowego </w:t>
    </w:r>
    <w:r>
      <w:rPr>
        <w:b/>
        <w:color w:val="898D8D"/>
        <w:sz w:val="18"/>
        <w:szCs w:val="18"/>
      </w:rPr>
      <w:t>Kapitał zakładowy</w:t>
    </w:r>
    <w:r>
      <w:rPr>
        <w:color w:val="898D8D"/>
        <w:sz w:val="18"/>
        <w:szCs w:val="18"/>
      </w:rPr>
      <w:t>: 10 790 800,00 PLN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8DE3" w14:textId="77777777" w:rsidR="009922A1" w:rsidRDefault="009922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082B4" w14:textId="77777777" w:rsidR="00B76537" w:rsidRDefault="00B76537">
      <w:pPr>
        <w:spacing w:before="0" w:after="0"/>
      </w:pPr>
      <w:r>
        <w:separator/>
      </w:r>
    </w:p>
  </w:footnote>
  <w:footnote w:type="continuationSeparator" w:id="0">
    <w:p w14:paraId="7D20460E" w14:textId="77777777" w:rsidR="00B76537" w:rsidRDefault="00B765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A2BC8" w14:textId="77777777" w:rsidR="009922A1" w:rsidRDefault="009922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60D53" w14:textId="77777777" w:rsidR="00FF2EA4" w:rsidRDefault="005067A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93B7921" wp14:editId="69A2B0B7">
          <wp:simplePos x="0" y="0"/>
          <wp:positionH relativeFrom="column">
            <wp:posOffset>-728768</wp:posOffset>
          </wp:positionH>
          <wp:positionV relativeFrom="paragraph">
            <wp:posOffset>-327005</wp:posOffset>
          </wp:positionV>
          <wp:extent cx="7236000" cy="10332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6000" cy="103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A08C4" w14:textId="77777777" w:rsidR="00FF2EA4" w:rsidRDefault="005067A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color w:val="00000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AA24B" w14:textId="77777777" w:rsidR="009922A1" w:rsidRDefault="009922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32F2"/>
    <w:multiLevelType w:val="multilevel"/>
    <w:tmpl w:val="3B383C42"/>
    <w:lvl w:ilvl="0">
      <w:start w:val="1"/>
      <w:numFmt w:val="decimal"/>
      <w:lvlText w:val="%1."/>
      <w:lvlJc w:val="left"/>
      <w:pPr>
        <w:ind w:left="0" w:firstLine="14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C53"/>
    <w:multiLevelType w:val="multilevel"/>
    <w:tmpl w:val="BA583F3A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abstractNum w:abstractNumId="2" w15:restartNumberingAfterBreak="0">
    <w:nsid w:val="11633C85"/>
    <w:multiLevelType w:val="hybridMultilevel"/>
    <w:tmpl w:val="D9D6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03265"/>
    <w:multiLevelType w:val="multilevel"/>
    <w:tmpl w:val="F962B486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abstractNum w:abstractNumId="4" w15:restartNumberingAfterBreak="0">
    <w:nsid w:val="7C077097"/>
    <w:multiLevelType w:val="multilevel"/>
    <w:tmpl w:val="5268C120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A4"/>
    <w:rsid w:val="000032C7"/>
    <w:rsid w:val="00010C4D"/>
    <w:rsid w:val="00024B32"/>
    <w:rsid w:val="00036E34"/>
    <w:rsid w:val="00045EDB"/>
    <w:rsid w:val="000505B8"/>
    <w:rsid w:val="0006422D"/>
    <w:rsid w:val="00076DCB"/>
    <w:rsid w:val="00083000"/>
    <w:rsid w:val="000B01D9"/>
    <w:rsid w:val="000B0F9B"/>
    <w:rsid w:val="000E205D"/>
    <w:rsid w:val="00131352"/>
    <w:rsid w:val="00140C75"/>
    <w:rsid w:val="00146C23"/>
    <w:rsid w:val="001630E8"/>
    <w:rsid w:val="0016578F"/>
    <w:rsid w:val="00170627"/>
    <w:rsid w:val="001812E5"/>
    <w:rsid w:val="001D0EF8"/>
    <w:rsid w:val="001D390F"/>
    <w:rsid w:val="001E3801"/>
    <w:rsid w:val="001E4FA9"/>
    <w:rsid w:val="002028A2"/>
    <w:rsid w:val="00223332"/>
    <w:rsid w:val="00223B36"/>
    <w:rsid w:val="002402EF"/>
    <w:rsid w:val="0024126E"/>
    <w:rsid w:val="002423DD"/>
    <w:rsid w:val="0024247A"/>
    <w:rsid w:val="002437C4"/>
    <w:rsid w:val="00255ACA"/>
    <w:rsid w:val="0026088C"/>
    <w:rsid w:val="00273B25"/>
    <w:rsid w:val="00280C15"/>
    <w:rsid w:val="00292FAC"/>
    <w:rsid w:val="00294FF6"/>
    <w:rsid w:val="002957A3"/>
    <w:rsid w:val="002A6790"/>
    <w:rsid w:val="002C1E20"/>
    <w:rsid w:val="00306E54"/>
    <w:rsid w:val="00316192"/>
    <w:rsid w:val="00317B26"/>
    <w:rsid w:val="00324F63"/>
    <w:rsid w:val="00327260"/>
    <w:rsid w:val="00334B90"/>
    <w:rsid w:val="003377A8"/>
    <w:rsid w:val="003534D8"/>
    <w:rsid w:val="0036163C"/>
    <w:rsid w:val="00363926"/>
    <w:rsid w:val="0038078B"/>
    <w:rsid w:val="00384848"/>
    <w:rsid w:val="00394187"/>
    <w:rsid w:val="003B645C"/>
    <w:rsid w:val="003C1B7A"/>
    <w:rsid w:val="00480446"/>
    <w:rsid w:val="004F136B"/>
    <w:rsid w:val="004F7048"/>
    <w:rsid w:val="005067A8"/>
    <w:rsid w:val="00534C82"/>
    <w:rsid w:val="00553CBB"/>
    <w:rsid w:val="00560F49"/>
    <w:rsid w:val="00570EB1"/>
    <w:rsid w:val="00572318"/>
    <w:rsid w:val="00574116"/>
    <w:rsid w:val="005806B2"/>
    <w:rsid w:val="00581175"/>
    <w:rsid w:val="00581229"/>
    <w:rsid w:val="00593E39"/>
    <w:rsid w:val="005953FC"/>
    <w:rsid w:val="00597AFB"/>
    <w:rsid w:val="005A096C"/>
    <w:rsid w:val="005A1591"/>
    <w:rsid w:val="00605E56"/>
    <w:rsid w:val="00626757"/>
    <w:rsid w:val="00626C90"/>
    <w:rsid w:val="006337F1"/>
    <w:rsid w:val="00651AF5"/>
    <w:rsid w:val="00653625"/>
    <w:rsid w:val="00687B80"/>
    <w:rsid w:val="006A6AD2"/>
    <w:rsid w:val="006B11B7"/>
    <w:rsid w:val="006B78D8"/>
    <w:rsid w:val="006E13BB"/>
    <w:rsid w:val="006E7136"/>
    <w:rsid w:val="006F4056"/>
    <w:rsid w:val="0071663C"/>
    <w:rsid w:val="0072788A"/>
    <w:rsid w:val="00744DAB"/>
    <w:rsid w:val="00753DE1"/>
    <w:rsid w:val="00777D33"/>
    <w:rsid w:val="00780C26"/>
    <w:rsid w:val="00781343"/>
    <w:rsid w:val="007847CA"/>
    <w:rsid w:val="00784FA3"/>
    <w:rsid w:val="007B73E7"/>
    <w:rsid w:val="007D72A5"/>
    <w:rsid w:val="007E33F0"/>
    <w:rsid w:val="007F3ECB"/>
    <w:rsid w:val="00807DC3"/>
    <w:rsid w:val="00815EB9"/>
    <w:rsid w:val="00815F90"/>
    <w:rsid w:val="00824F7C"/>
    <w:rsid w:val="00833AAA"/>
    <w:rsid w:val="00844DAF"/>
    <w:rsid w:val="008633E6"/>
    <w:rsid w:val="008963C2"/>
    <w:rsid w:val="008A225F"/>
    <w:rsid w:val="008C26B7"/>
    <w:rsid w:val="008C2E63"/>
    <w:rsid w:val="008E203B"/>
    <w:rsid w:val="008F62F6"/>
    <w:rsid w:val="009123C2"/>
    <w:rsid w:val="00927723"/>
    <w:rsid w:val="00934CEE"/>
    <w:rsid w:val="00937044"/>
    <w:rsid w:val="00942AD2"/>
    <w:rsid w:val="0095647C"/>
    <w:rsid w:val="0096099F"/>
    <w:rsid w:val="009644C2"/>
    <w:rsid w:val="00977E7D"/>
    <w:rsid w:val="009837F5"/>
    <w:rsid w:val="00987ECA"/>
    <w:rsid w:val="009922A1"/>
    <w:rsid w:val="009B5D48"/>
    <w:rsid w:val="009B74FD"/>
    <w:rsid w:val="009E1C86"/>
    <w:rsid w:val="009E6FA5"/>
    <w:rsid w:val="009F00C1"/>
    <w:rsid w:val="00A003F6"/>
    <w:rsid w:val="00A230FC"/>
    <w:rsid w:val="00A356B6"/>
    <w:rsid w:val="00A722E8"/>
    <w:rsid w:val="00A812EB"/>
    <w:rsid w:val="00A8293D"/>
    <w:rsid w:val="00AA2048"/>
    <w:rsid w:val="00AB18A2"/>
    <w:rsid w:val="00AE0DFC"/>
    <w:rsid w:val="00AE3416"/>
    <w:rsid w:val="00AE3E59"/>
    <w:rsid w:val="00B27233"/>
    <w:rsid w:val="00B43ABE"/>
    <w:rsid w:val="00B52162"/>
    <w:rsid w:val="00B76537"/>
    <w:rsid w:val="00B93BCA"/>
    <w:rsid w:val="00B96AB2"/>
    <w:rsid w:val="00BA2513"/>
    <w:rsid w:val="00BD2F8A"/>
    <w:rsid w:val="00C3407C"/>
    <w:rsid w:val="00C752BF"/>
    <w:rsid w:val="00C77E4A"/>
    <w:rsid w:val="00C92E1F"/>
    <w:rsid w:val="00C95688"/>
    <w:rsid w:val="00CC27DC"/>
    <w:rsid w:val="00CC592C"/>
    <w:rsid w:val="00CC7247"/>
    <w:rsid w:val="00CD5401"/>
    <w:rsid w:val="00CE264A"/>
    <w:rsid w:val="00CE6706"/>
    <w:rsid w:val="00D019B2"/>
    <w:rsid w:val="00D0254A"/>
    <w:rsid w:val="00D7001D"/>
    <w:rsid w:val="00D71320"/>
    <w:rsid w:val="00D77975"/>
    <w:rsid w:val="00D81835"/>
    <w:rsid w:val="00D83BE1"/>
    <w:rsid w:val="00D8400C"/>
    <w:rsid w:val="00D8576C"/>
    <w:rsid w:val="00DA17B8"/>
    <w:rsid w:val="00DA2E8A"/>
    <w:rsid w:val="00DB0F8B"/>
    <w:rsid w:val="00DC4B43"/>
    <w:rsid w:val="00DD1D82"/>
    <w:rsid w:val="00DE3859"/>
    <w:rsid w:val="00E17F89"/>
    <w:rsid w:val="00E22EC8"/>
    <w:rsid w:val="00E2646F"/>
    <w:rsid w:val="00E50A6E"/>
    <w:rsid w:val="00E62712"/>
    <w:rsid w:val="00E71B1D"/>
    <w:rsid w:val="00E81697"/>
    <w:rsid w:val="00E9038D"/>
    <w:rsid w:val="00E92F13"/>
    <w:rsid w:val="00EB71AA"/>
    <w:rsid w:val="00EC09F5"/>
    <w:rsid w:val="00EC0F60"/>
    <w:rsid w:val="00EC24D3"/>
    <w:rsid w:val="00EE363F"/>
    <w:rsid w:val="00EF43D1"/>
    <w:rsid w:val="00F25D78"/>
    <w:rsid w:val="00F3181B"/>
    <w:rsid w:val="00F37C94"/>
    <w:rsid w:val="00F430BF"/>
    <w:rsid w:val="00F5615F"/>
    <w:rsid w:val="00F653B3"/>
    <w:rsid w:val="00F71DE3"/>
    <w:rsid w:val="00F9482D"/>
    <w:rsid w:val="00FB0C24"/>
    <w:rsid w:val="00FF05A9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388D5"/>
  <w15:docId w15:val="{05F2231F-1A20-4E9F-AA59-40E9CD8B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240" w:line="360" w:lineRule="auto"/>
      <w:outlineLvl w:val="0"/>
    </w:pPr>
    <w:rPr>
      <w:b/>
      <w:sz w:val="36"/>
      <w:szCs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 w:after="0" w:line="360" w:lineRule="auto"/>
      <w:outlineLvl w:val="1"/>
    </w:pPr>
    <w:rPr>
      <w:b/>
      <w:color w:val="000000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0" w:after="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77E4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7E4A"/>
  </w:style>
  <w:style w:type="paragraph" w:styleId="Stopka">
    <w:name w:val="footer"/>
    <w:basedOn w:val="Normalny"/>
    <w:link w:val="StopkaZnak"/>
    <w:uiPriority w:val="99"/>
    <w:unhideWhenUsed/>
    <w:rsid w:val="00C77E4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C77E4A"/>
  </w:style>
  <w:style w:type="character" w:customStyle="1" w:styleId="marko5auef0hv">
    <w:name w:val="marko5auef0hv"/>
    <w:basedOn w:val="Domylnaczcionkaakapitu"/>
    <w:rsid w:val="00C77E4A"/>
  </w:style>
  <w:style w:type="paragraph" w:styleId="NormalnyWeb">
    <w:name w:val="Normal (Web)"/>
    <w:basedOn w:val="Normalny"/>
    <w:uiPriority w:val="99"/>
    <w:unhideWhenUsed/>
    <w:rsid w:val="003377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77A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7A8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7A8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7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A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DE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7B8"/>
    <w:pPr>
      <w:spacing w:before="120" w:after="120"/>
      <w:jc w:val="both"/>
    </w:pPr>
    <w:rPr>
      <w:rFonts w:ascii="Calibri" w:eastAsia="Calibri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7B8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9038D"/>
    <w:rPr>
      <w:color w:val="800080" w:themeColor="followedHyperlink"/>
      <w:u w:val="single"/>
    </w:rPr>
  </w:style>
  <w:style w:type="paragraph" w:customStyle="1" w:styleId="paragraph">
    <w:name w:val="paragraph"/>
    <w:basedOn w:val="Normalny"/>
    <w:rsid w:val="00036E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36E34"/>
  </w:style>
  <w:style w:type="character" w:customStyle="1" w:styleId="eop">
    <w:name w:val="eop"/>
    <w:basedOn w:val="Domylnaczcionkaakapitu"/>
    <w:rsid w:val="00036E34"/>
  </w:style>
  <w:style w:type="character" w:customStyle="1" w:styleId="spellingerror">
    <w:name w:val="spellingerror"/>
    <w:basedOn w:val="Domylnaczcionkaakapitu"/>
    <w:rsid w:val="0003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A081-3D42-4134-A8BC-22046316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Jakimiak-Szadziewicz</dc:creator>
  <cp:lastModifiedBy>Magdalena Jakimiak-Szadziewicz</cp:lastModifiedBy>
  <cp:revision>3</cp:revision>
  <dcterms:created xsi:type="dcterms:W3CDTF">2021-03-19T12:05:00Z</dcterms:created>
  <dcterms:modified xsi:type="dcterms:W3CDTF">2021-03-19T12:08:00Z</dcterms:modified>
</cp:coreProperties>
</file>